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7A629" w14:textId="77777777" w:rsidR="00893E17" w:rsidRDefault="00B8221C">
      <w:pPr>
        <w:spacing w:after="60"/>
      </w:pPr>
      <w:r>
        <w:rPr>
          <w:b/>
          <w:bCs/>
          <w:color w:val="1B2A4A"/>
          <w:sz w:val="28"/>
          <w:szCs w:val="28"/>
        </w:rPr>
        <w:t>LITERATURE GAP ANALYSIS — RESEARCH POSITIONING TABLE</w:t>
      </w:r>
    </w:p>
    <w:p w14:paraId="208E3908" w14:textId="77777777" w:rsidR="00893E17" w:rsidRDefault="00B8221C">
      <w:pPr>
        <w:spacing w:after="60"/>
      </w:pPr>
      <w:r>
        <w:rPr>
          <w:color w:val="666666"/>
          <w:sz w:val="18"/>
          <w:szCs w:val="18"/>
        </w:rPr>
        <w:t xml:space="preserve">Design Quality and Development Project </w:t>
      </w:r>
      <w:proofErr w:type="gramStart"/>
      <w:r>
        <w:rPr>
          <w:color w:val="666666"/>
          <w:sz w:val="18"/>
          <w:szCs w:val="18"/>
        </w:rPr>
        <w:t>Outcomes  |</w:t>
      </w:r>
      <w:proofErr w:type="gramEnd"/>
      <w:r>
        <w:rPr>
          <w:color w:val="666666"/>
          <w:sz w:val="18"/>
          <w:szCs w:val="18"/>
        </w:rPr>
        <w:t xml:space="preserve">  Brandon, S.  </w:t>
      </w:r>
      <w:proofErr w:type="gramStart"/>
      <w:r>
        <w:rPr>
          <w:color w:val="666666"/>
          <w:sz w:val="18"/>
          <w:szCs w:val="18"/>
        </w:rPr>
        <w:t>|  QUT</w:t>
      </w:r>
      <w:proofErr w:type="gramEnd"/>
      <w:r>
        <w:rPr>
          <w:color w:val="666666"/>
          <w:sz w:val="18"/>
          <w:szCs w:val="18"/>
        </w:rPr>
        <w:t xml:space="preserve"> / Griffith </w:t>
      </w:r>
      <w:proofErr w:type="gramStart"/>
      <w:r>
        <w:rPr>
          <w:color w:val="666666"/>
          <w:sz w:val="18"/>
          <w:szCs w:val="18"/>
        </w:rPr>
        <w:t>University  |</w:t>
      </w:r>
      <w:proofErr w:type="gramEnd"/>
      <w:r>
        <w:rPr>
          <w:color w:val="666666"/>
          <w:sz w:val="18"/>
          <w:szCs w:val="18"/>
        </w:rPr>
        <w:t xml:space="preserve">  February 2026</w:t>
      </w:r>
    </w:p>
    <w:p w14:paraId="0B2E9BFC" w14:textId="77777777" w:rsidR="00893E17" w:rsidRDefault="00B8221C">
      <w:pPr>
        <w:spacing w:after="160"/>
      </w:pPr>
      <w:r>
        <w:rPr>
          <w:i/>
          <w:iCs/>
          <w:color w:val="0B6E6E"/>
          <w:sz w:val="18"/>
          <w:szCs w:val="18"/>
        </w:rPr>
        <w:t>Purpose: To locate the research question precisely within existing literature — identifying what each stream asked, what it found, and what it explicitly left unanswered. The research question emerges from the literature's own unfinished business, not from a prior theoretical framework.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179"/>
        <w:gridCol w:w="1656"/>
        <w:gridCol w:w="1667"/>
        <w:gridCol w:w="1650"/>
        <w:gridCol w:w="2108"/>
      </w:tblGrid>
      <w:tr w:rsidR="00893E17" w14:paraId="623391D4"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1622CF3E" w14:textId="77777777" w:rsidR="00893E17" w:rsidRDefault="00B8221C">
            <w:r>
              <w:rPr>
                <w:b/>
                <w:bCs/>
                <w:color w:val="FFFFFF"/>
                <w:sz w:val="18"/>
                <w:szCs w:val="18"/>
              </w:rPr>
              <w:t>Literature Stream</w:t>
            </w:r>
          </w:p>
        </w:tc>
        <w:tc>
          <w:tcPr>
            <w:tcW w:w="12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507535F2" w14:textId="77777777" w:rsidR="00893E17" w:rsidRDefault="00B8221C">
            <w:r>
              <w:rPr>
                <w:b/>
                <w:bCs/>
                <w:color w:val="FFFFFF"/>
                <w:sz w:val="18"/>
                <w:szCs w:val="18"/>
              </w:rPr>
              <w:t>Key Authors</w:t>
            </w:r>
          </w:p>
        </w:tc>
        <w:tc>
          <w:tcPr>
            <w:tcW w:w="17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3BA35623" w14:textId="77777777" w:rsidR="00893E17" w:rsidRDefault="00B8221C">
            <w:r>
              <w:rPr>
                <w:b/>
                <w:bCs/>
                <w:color w:val="FFFFFF"/>
                <w:sz w:val="18"/>
                <w:szCs w:val="18"/>
              </w:rPr>
              <w:t>Research Question Asked</w:t>
            </w:r>
          </w:p>
        </w:tc>
        <w:tc>
          <w:tcPr>
            <w:tcW w:w="17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042C52A9" w14:textId="77777777" w:rsidR="00893E17" w:rsidRDefault="00B8221C">
            <w:r>
              <w:rPr>
                <w:b/>
                <w:bCs/>
                <w:color w:val="FFFFFF"/>
                <w:sz w:val="18"/>
                <w:szCs w:val="18"/>
              </w:rPr>
              <w:t>Methodology</w:t>
            </w:r>
          </w:p>
        </w:tc>
        <w:tc>
          <w:tcPr>
            <w:tcW w:w="17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336BDDFC" w14:textId="77777777" w:rsidR="00893E17" w:rsidRDefault="00B8221C">
            <w:r>
              <w:rPr>
                <w:b/>
                <w:bCs/>
                <w:color w:val="FFFFFF"/>
                <w:sz w:val="18"/>
                <w:szCs w:val="18"/>
              </w:rPr>
              <w:t>Finding</w:t>
            </w:r>
          </w:p>
        </w:tc>
        <w:tc>
          <w:tcPr>
            <w:tcW w:w="22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4C2FD60D" w14:textId="77777777" w:rsidR="00893E17" w:rsidRDefault="00B8221C">
            <w:r>
              <w:rPr>
                <w:b/>
                <w:bCs/>
                <w:color w:val="FFFFFF"/>
                <w:sz w:val="18"/>
                <w:szCs w:val="18"/>
              </w:rPr>
              <w:t>Gap — What Was NOT Tested</w:t>
            </w:r>
          </w:p>
        </w:tc>
      </w:tr>
      <w:tr w:rsidR="00893E17" w14:paraId="296B7FB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6F6E5B70" w14:textId="77777777" w:rsidR="00893E17" w:rsidRDefault="00B8221C">
            <w:r>
              <w:rPr>
                <w:b/>
                <w:bCs/>
                <w:color w:val="1B2A4A"/>
                <w:sz w:val="16"/>
                <w:szCs w:val="16"/>
              </w:rPr>
              <w:t xml:space="preserve">Aid </w:t>
            </w:r>
            <w:r>
              <w:rPr>
                <w:b/>
                <w:bCs/>
                <w:color w:val="1B2A4A"/>
                <w:sz w:val="16"/>
                <w:szCs w:val="16"/>
              </w:rPr>
              <w:t>Effectiveness</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77B6C754" w14:textId="77777777" w:rsidR="00893E17" w:rsidRDefault="00B8221C">
            <w:r>
              <w:rPr>
                <w:i/>
                <w:iCs/>
                <w:color w:val="111111"/>
                <w:sz w:val="16"/>
                <w:szCs w:val="16"/>
              </w:rPr>
              <w:t>Easterly (2006) Moyo (2009)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3A09D43B" w14:textId="77777777" w:rsidR="00893E17" w:rsidRDefault="00B8221C">
            <w:r>
              <w:rPr>
                <w:color w:val="111111"/>
                <w:sz w:val="16"/>
                <w:szCs w:val="16"/>
              </w:rPr>
              <w:t>Does foreign aid produce economic growth in recipient countries?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61FB8DF" w14:textId="77777777" w:rsidR="00893E17" w:rsidRDefault="00B8221C">
            <w:r>
              <w:rPr>
                <w:color w:val="111111"/>
                <w:sz w:val="16"/>
                <w:szCs w:val="16"/>
              </w:rPr>
              <w:t>Macro cross-country regression; historical analysis of aid flows vs GDP growth across Africa and developing world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A0409E5" w14:textId="77777777" w:rsidR="00893E17" w:rsidRDefault="00B8221C">
            <w:r>
              <w:rPr>
                <w:color w:val="111111"/>
                <w:sz w:val="16"/>
                <w:szCs w:val="16"/>
              </w:rPr>
              <w:t>Aid often fails to produce sustained growth; can create dependency, distort institutions, and crowd out domestic investment</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77FC6995" w14:textId="77777777" w:rsidR="00893E17" w:rsidRDefault="00B8221C">
            <w:r>
              <w:rPr>
                <w:color w:val="7A4A00"/>
                <w:sz w:val="16"/>
                <w:szCs w:val="16"/>
              </w:rPr>
              <w:t>Why does aid fail at the project level? No mechanism identified. No test of whether individual project design quality drives the failure pattern Moyo describes systemically.</w:t>
            </w:r>
          </w:p>
        </w:tc>
      </w:tr>
      <w:tr w:rsidR="00893E17" w14:paraId="3D1F450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C0ED890" w14:textId="77777777" w:rsidR="00893E17" w:rsidRDefault="00B8221C">
            <w:r>
              <w:rPr>
                <w:b/>
                <w:bCs/>
                <w:color w:val="1B2A4A"/>
                <w:sz w:val="16"/>
                <w:szCs w:val="16"/>
              </w:rPr>
              <w:t>Institutional Quality</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096BA53" w14:textId="77777777" w:rsidR="00893E17" w:rsidRDefault="00B8221C">
            <w:r>
              <w:rPr>
                <w:i/>
                <w:iCs/>
                <w:color w:val="111111"/>
                <w:sz w:val="16"/>
                <w:szCs w:val="16"/>
              </w:rPr>
              <w:t>Acemoglu &amp; Robinson (2012)</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3176A37F" w14:textId="77777777" w:rsidR="00893E17" w:rsidRDefault="00B8221C">
            <w:r>
              <w:rPr>
                <w:color w:val="111111"/>
                <w:sz w:val="16"/>
                <w:szCs w:val="16"/>
              </w:rPr>
              <w:t>Why do some nations succeed economically and others fail?</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2F6B1276" w14:textId="77777777" w:rsidR="00893E17" w:rsidRDefault="00B8221C">
            <w:r>
              <w:rPr>
                <w:color w:val="111111"/>
                <w:sz w:val="16"/>
                <w:szCs w:val="16"/>
              </w:rPr>
              <w:t>Historical comparative analysis; natural experiments; colonial institutions as instruments for current institutional quality</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39AFF73F" w14:textId="77777777" w:rsidR="00893E17" w:rsidRDefault="00B8221C">
            <w:r>
              <w:rPr>
                <w:color w:val="111111"/>
                <w:sz w:val="16"/>
                <w:szCs w:val="16"/>
              </w:rPr>
              <w:t>Inclusive institutions drive long-run development; extractive institutions concentrate gains and suppress growth</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EACFAD3" w14:textId="77777777" w:rsidR="00893E17" w:rsidRDefault="00B8221C">
            <w:r>
              <w:rPr>
                <w:color w:val="7A4A00"/>
                <w:sz w:val="16"/>
                <w:szCs w:val="16"/>
              </w:rPr>
              <w:t>Country-level only. Cannot predict which specific projects succeed within a given institutional environment. No project-level test of whether design quality mediates the institutional effect.</w:t>
            </w:r>
          </w:p>
        </w:tc>
      </w:tr>
      <w:tr w:rsidR="00893E17" w14:paraId="0B05DC5C"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73A7BEE2" w14:textId="77777777" w:rsidR="00893E17" w:rsidRDefault="00B8221C">
            <w:r>
              <w:rPr>
                <w:b/>
                <w:bCs/>
                <w:color w:val="1B2A4A"/>
                <w:sz w:val="16"/>
                <w:szCs w:val="16"/>
              </w:rPr>
              <w:t>RCT Evidence</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0552DDCA" w14:textId="77777777" w:rsidR="00893E17" w:rsidRDefault="00B8221C">
            <w:r>
              <w:rPr>
                <w:i/>
                <w:iCs/>
                <w:color w:val="111111"/>
                <w:sz w:val="16"/>
                <w:szCs w:val="16"/>
              </w:rPr>
              <w:t>Banerjee &amp; Duflo (2011)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57134142" w14:textId="77777777" w:rsidR="00893E17" w:rsidRDefault="00B8221C">
            <w:r>
              <w:rPr>
                <w:color w:val="111111"/>
                <w:sz w:val="16"/>
                <w:szCs w:val="16"/>
              </w:rPr>
              <w:t>Do specific development interventions work when properly designed and targeted?</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18BB67A2" w14:textId="77777777" w:rsidR="00893E17" w:rsidRDefault="00B8221C">
            <w:r>
              <w:rPr>
                <w:color w:val="111111"/>
                <w:sz w:val="16"/>
                <w:szCs w:val="16"/>
              </w:rPr>
              <w:t>Randomised Controlled Trials; field experiments in specific geographic and sectoral contexts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8835F7B" w14:textId="77777777" w:rsidR="00893E17" w:rsidRDefault="00B8221C">
            <w:r>
              <w:rPr>
                <w:color w:val="111111"/>
                <w:sz w:val="16"/>
                <w:szCs w:val="16"/>
              </w:rPr>
              <w:t>Well-designed interventions work in specific contexts; poor design or targeting leads to failure</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2F2E347" w14:textId="77777777" w:rsidR="00893E17" w:rsidRDefault="00B8221C">
            <w:r>
              <w:rPr>
                <w:color w:val="7A4A00"/>
                <w:sz w:val="16"/>
                <w:szCs w:val="16"/>
              </w:rPr>
              <w:t>No portfolio-scale framework. RCT findings do not generalise across 70 years, 187 countries, and 12 sectors. Cannot answer whether design quality is a universal predictor at MDB portfolio scale.</w:t>
            </w:r>
          </w:p>
        </w:tc>
      </w:tr>
      <w:tr w:rsidR="00893E17" w14:paraId="49CA8240"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7AE3666C" w14:textId="77777777" w:rsidR="00893E17" w:rsidRDefault="00B8221C">
            <w:r>
              <w:rPr>
                <w:b/>
                <w:bCs/>
                <w:color w:val="1B2A4A"/>
                <w:sz w:val="16"/>
                <w:szCs w:val="16"/>
              </w:rPr>
              <w:t>IEG Self-Evaluation</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0DD3580" w14:textId="77777777" w:rsidR="00893E17" w:rsidRDefault="00B8221C">
            <w:r>
              <w:rPr>
                <w:i/>
                <w:iCs/>
                <w:color w:val="111111"/>
                <w:sz w:val="16"/>
                <w:szCs w:val="16"/>
              </w:rPr>
              <w:t>IEG RAP Reports (2013–2023)</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415A1125" w14:textId="77777777" w:rsidR="00893E17" w:rsidRDefault="00B8221C">
            <w:r>
              <w:rPr>
                <w:color w:val="111111"/>
                <w:sz w:val="16"/>
                <w:szCs w:val="16"/>
              </w:rPr>
              <w:t>How well is the World Bank performing, and what factors correlate with project success?</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37508146" w14:textId="77777777" w:rsidR="00893E17" w:rsidRDefault="00B8221C">
            <w:r>
              <w:rPr>
                <w:color w:val="111111"/>
                <w:sz w:val="16"/>
                <w:szCs w:val="16"/>
              </w:rPr>
              <w:t>Descriptive statistics on IEG ratings; correlation analysis; trend reporting across fiscal years</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267C2EA7" w14:textId="77777777" w:rsidR="00893E17" w:rsidRDefault="00B8221C">
            <w:r>
              <w:rPr>
                <w:color w:val="111111"/>
                <w:sz w:val="16"/>
                <w:szCs w:val="16"/>
              </w:rPr>
              <w:t>Quality at Entry correlates with Outcome ratings; M&amp;E quality and supervision also matter</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5167671" w14:textId="77777777" w:rsidR="00893E17" w:rsidRDefault="00B8221C">
            <w:r>
              <w:rPr>
                <w:color w:val="7A4A00"/>
                <w:sz w:val="16"/>
                <w:szCs w:val="16"/>
              </w:rPr>
              <w:t>Descriptive only. No causal identification — cannot rule out reverse causality, halo bias, or omitted variable confounding. No cross-institutional replication. No odds ratio or effect size. Treated as monitoring, not research.</w:t>
            </w:r>
          </w:p>
        </w:tc>
      </w:tr>
      <w:tr w:rsidR="00893E17" w14:paraId="0621CA9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78F3A9BD" w14:textId="77777777" w:rsidR="00893E17" w:rsidRDefault="00B8221C">
            <w:r>
              <w:rPr>
                <w:b/>
                <w:bCs/>
                <w:color w:val="1B2A4A"/>
                <w:sz w:val="16"/>
                <w:szCs w:val="16"/>
              </w:rPr>
              <w:t>MDB Project Econometrics</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36C3A55B" w14:textId="77777777" w:rsidR="00893E17" w:rsidRDefault="00B8221C">
            <w:r>
              <w:rPr>
                <w:i/>
                <w:iCs/>
                <w:color w:val="111111"/>
                <w:sz w:val="16"/>
                <w:szCs w:val="16"/>
              </w:rPr>
              <w:t>Denizer, Kaufmann &amp; Kraay (2013) Kilby (2015)</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AAB6AE7" w14:textId="77777777" w:rsidR="00893E17" w:rsidRDefault="00B8221C">
            <w:r>
              <w:rPr>
                <w:color w:val="111111"/>
                <w:sz w:val="16"/>
                <w:szCs w:val="16"/>
              </w:rPr>
              <w:t>What project and country characteristics predict World Bank project outcomes?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30E766" w14:textId="77777777" w:rsidR="00893E17" w:rsidRDefault="00B8221C">
            <w:r>
              <w:rPr>
                <w:color w:val="111111"/>
                <w:sz w:val="16"/>
                <w:szCs w:val="16"/>
              </w:rPr>
              <w:t>OLS and logit regression on IEG data; variance decomposition to separate within-country from between-country variation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082A18D6" w14:textId="77777777" w:rsidR="00893E17" w:rsidRDefault="00B8221C">
            <w:r>
              <w:rPr>
                <w:color w:val="111111"/>
                <w:sz w:val="16"/>
                <w:szCs w:val="16"/>
              </w:rPr>
              <w:t>Project variance is greater within countries than between them; preparation duration and team quality matter; geopolitics affect ratings</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207890E" w14:textId="77777777" w:rsidR="00893E17" w:rsidRDefault="00B8221C">
            <w:r>
              <w:rPr>
                <w:color w:val="7A4A00"/>
                <w:sz w:val="16"/>
                <w:szCs w:val="16"/>
              </w:rPr>
              <w:t>Design quality is not theorised or measured as a construct. Quality at Entry appears as a control variable, never as the primary explanatory variable. No cross-institutional replication. No causal identification of design quality specifically.</w:t>
            </w:r>
          </w:p>
        </w:tc>
      </w:tr>
      <w:tr w:rsidR="00893E17" w14:paraId="303598B4"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59659091" w14:textId="77777777" w:rsidR="00893E17" w:rsidRDefault="00B8221C">
            <w:r>
              <w:rPr>
                <w:b/>
                <w:bCs/>
                <w:color w:val="1B2A4A"/>
                <w:sz w:val="16"/>
                <w:szCs w:val="16"/>
              </w:rPr>
              <w:t>Development Project Management</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867EDBC" w14:textId="77777777" w:rsidR="00893E17" w:rsidRDefault="00B8221C">
            <w:r>
              <w:rPr>
                <w:i/>
                <w:iCs/>
                <w:color w:val="111111"/>
                <w:sz w:val="16"/>
                <w:szCs w:val="16"/>
              </w:rPr>
              <w:t>Ika, Diallo &amp; Thuillier (2012)</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3617FDB8" w14:textId="77777777" w:rsidR="00893E17" w:rsidRDefault="00B8221C">
            <w:r>
              <w:rPr>
                <w:color w:val="111111"/>
                <w:sz w:val="16"/>
                <w:szCs w:val="16"/>
              </w:rPr>
              <w:t>What are the critical success factors for World Bank projects?</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516D4D11" w14:textId="77777777" w:rsidR="00893E17" w:rsidRDefault="00B8221C">
            <w:r>
              <w:rPr>
                <w:color w:val="111111"/>
                <w:sz w:val="16"/>
                <w:szCs w:val="16"/>
              </w:rPr>
              <w:t>Survey of World Bank task team leaders; factor analysis of project management variables</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69325B1E" w14:textId="77777777" w:rsidR="00893E17" w:rsidRDefault="00B8221C">
            <w:r>
              <w:rPr>
                <w:color w:val="111111"/>
                <w:sz w:val="16"/>
                <w:szCs w:val="16"/>
              </w:rPr>
              <w:t>Project design is the most critical success factor; clarity of objectives, stakeholder participation, and M&amp;E framework are key dimensions</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BDE74D9" w14:textId="77777777" w:rsidR="00893E17" w:rsidRDefault="00B8221C">
            <w:r>
              <w:rPr>
                <w:color w:val="7A4A00"/>
                <w:sz w:val="16"/>
                <w:szCs w:val="16"/>
              </w:rPr>
              <w:t>Critical success factors identified qualitatively but never causally tested at full portfolio scale. Survey-based — subject to recall and social desirability bias. No econometric validation across 12,328 projects.</w:t>
            </w:r>
          </w:p>
        </w:tc>
      </w:tr>
      <w:tr w:rsidR="00893E17" w14:paraId="67A790FB"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132FEC23" w14:textId="77777777" w:rsidR="00893E17" w:rsidRDefault="00B8221C">
            <w:r>
              <w:rPr>
                <w:b/>
                <w:bCs/>
                <w:color w:val="1B2A4A"/>
                <w:sz w:val="16"/>
                <w:szCs w:val="16"/>
              </w:rPr>
              <w:t>Principal-Agent Theory</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3082BDC7" w14:textId="77777777" w:rsidR="00893E17" w:rsidRDefault="00B8221C">
            <w:r>
              <w:rPr>
                <w:i/>
                <w:iCs/>
                <w:color w:val="111111"/>
                <w:sz w:val="16"/>
                <w:szCs w:val="16"/>
              </w:rPr>
              <w:t xml:space="preserve">Chauvet, Collier &amp; </w:t>
            </w:r>
            <w:r>
              <w:rPr>
                <w:i/>
                <w:iCs/>
                <w:color w:val="111111"/>
                <w:sz w:val="16"/>
                <w:szCs w:val="16"/>
              </w:rPr>
              <w:lastRenderedPageBreak/>
              <w:t>Fuster (2017)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22B74493" w14:textId="77777777" w:rsidR="00893E17" w:rsidRDefault="00B8221C">
            <w:r>
              <w:rPr>
                <w:color w:val="111111"/>
                <w:sz w:val="16"/>
                <w:szCs w:val="16"/>
              </w:rPr>
              <w:lastRenderedPageBreak/>
              <w:t xml:space="preserve">Does donor supervision </w:t>
            </w:r>
            <w:r>
              <w:rPr>
                <w:color w:val="111111"/>
                <w:sz w:val="16"/>
                <w:szCs w:val="16"/>
              </w:rPr>
              <w:lastRenderedPageBreak/>
              <w:t>improve aid project outcomes? Does incentive misalignment predict failure?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BCE879A" w14:textId="77777777" w:rsidR="00893E17" w:rsidRDefault="00B8221C">
            <w:r>
              <w:rPr>
                <w:color w:val="111111"/>
                <w:sz w:val="16"/>
                <w:szCs w:val="16"/>
              </w:rPr>
              <w:lastRenderedPageBreak/>
              <w:t xml:space="preserve">Cross-country regression linking </w:t>
            </w:r>
            <w:r>
              <w:rPr>
                <w:color w:val="111111"/>
                <w:sz w:val="16"/>
                <w:szCs w:val="16"/>
              </w:rPr>
              <w:lastRenderedPageBreak/>
              <w:t>supervision intensity to outcome ratings; game-theoretic modelling of donor-recipient incentives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tcPr>
          <w:p w14:paraId="6D3514BB" w14:textId="77777777" w:rsidR="00893E17" w:rsidRDefault="00B8221C">
            <w:r>
              <w:rPr>
                <w:color w:val="111111"/>
                <w:sz w:val="16"/>
                <w:szCs w:val="16"/>
              </w:rPr>
              <w:lastRenderedPageBreak/>
              <w:t xml:space="preserve">Supervision improves </w:t>
            </w:r>
            <w:r>
              <w:rPr>
                <w:color w:val="111111"/>
                <w:sz w:val="16"/>
                <w:szCs w:val="16"/>
              </w:rPr>
              <w:lastRenderedPageBreak/>
              <w:t>outcomes; incentive misalignment between donors and recipients predicts project failure</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28693874" w14:textId="77777777" w:rsidR="00893E17" w:rsidRDefault="00B8221C">
            <w:r>
              <w:rPr>
                <w:color w:val="7A4A00"/>
                <w:sz w:val="16"/>
                <w:szCs w:val="16"/>
              </w:rPr>
              <w:lastRenderedPageBreak/>
              <w:t xml:space="preserve">Supervision is measured post-design — cannot </w:t>
            </w:r>
            <w:r>
              <w:rPr>
                <w:color w:val="7A4A00"/>
                <w:sz w:val="16"/>
                <w:szCs w:val="16"/>
              </w:rPr>
              <w:lastRenderedPageBreak/>
              <w:t>separate design quality from implementation quality. No empirical test of whether misalignment manifests at the design stage specifically. Design quality not modelled as the mechanism.</w:t>
            </w:r>
          </w:p>
        </w:tc>
      </w:tr>
      <w:tr w:rsidR="00893E17" w14:paraId="0979192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271DB08" w14:textId="77777777" w:rsidR="00893E17" w:rsidRDefault="00B8221C">
            <w:r>
              <w:rPr>
                <w:b/>
                <w:bCs/>
                <w:color w:val="1B2A4A"/>
                <w:sz w:val="16"/>
                <w:szCs w:val="16"/>
              </w:rPr>
              <w:lastRenderedPageBreak/>
              <w:t>Climate Finance Quality</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04EC8053" w14:textId="77777777" w:rsidR="00893E17" w:rsidRDefault="00B8221C">
            <w:r>
              <w:rPr>
                <w:i/>
                <w:iCs/>
                <w:color w:val="111111"/>
                <w:sz w:val="16"/>
                <w:szCs w:val="16"/>
              </w:rPr>
              <w:t>Buchner et al. (2023) OECD DAC (2022)</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0003AF65" w14:textId="77777777" w:rsidR="00893E17" w:rsidRDefault="00B8221C">
            <w:r>
              <w:rPr>
                <w:color w:val="111111"/>
                <w:sz w:val="16"/>
                <w:szCs w:val="16"/>
              </w:rPr>
              <w:t>How much climate finance is being deployed, and is it reaching vulnerable countries effectively?</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286C74DC" w14:textId="77777777" w:rsidR="00893E17" w:rsidRDefault="00B8221C">
            <w:r>
              <w:rPr>
                <w:color w:val="111111"/>
                <w:sz w:val="16"/>
                <w:szCs w:val="16"/>
              </w:rPr>
              <w:t>Flow tracking; portfolio analysis of climate finance commitments across MDBs and bilateral donors</w:t>
            </w:r>
          </w:p>
        </w:tc>
        <w:tc>
          <w:tcPr>
            <w:tcW w:w="1700" w:type="dxa"/>
            <w:tcBorders>
              <w:top w:val="single" w:sz="4" w:space="0" w:color="CCCCCC"/>
              <w:left w:val="single" w:sz="4" w:space="0" w:color="CCCCCC"/>
              <w:bottom w:val="single" w:sz="4" w:space="0" w:color="CCCCCC"/>
              <w:right w:val="single" w:sz="4" w:space="0" w:color="CCCCCC"/>
            </w:tcBorders>
            <w:shd w:val="clear" w:color="auto" w:fill="FAFAFA"/>
            <w:tcMar>
              <w:top w:w="100" w:type="dxa"/>
              <w:left w:w="140" w:type="dxa"/>
              <w:bottom w:w="100" w:type="dxa"/>
              <w:right w:w="140" w:type="dxa"/>
            </w:tcMar>
          </w:tcPr>
          <w:p w14:paraId="63CBD41E" w14:textId="77777777" w:rsidR="00893E17" w:rsidRDefault="00B8221C">
            <w:r>
              <w:rPr>
                <w:color w:val="111111"/>
                <w:sz w:val="16"/>
                <w:szCs w:val="16"/>
              </w:rPr>
              <w:t>Over $300B deployed annually; significant quality gaps identified; SIDS and LDCs receive inadequate adaptation finance</w:t>
            </w:r>
          </w:p>
        </w:tc>
        <w:tc>
          <w:tcPr>
            <w:tcW w:w="22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1D957368" w14:textId="77777777" w:rsidR="00893E17" w:rsidRDefault="00B8221C">
            <w:r>
              <w:rPr>
                <w:color w:val="7A4A00"/>
                <w:sz w:val="16"/>
                <w:szCs w:val="16"/>
              </w:rPr>
              <w:t>No validated ex-ante quality standard exists for climate finance project design. Cannot predict whether a climate project will succeed before it is implemented. No design quality instrument applicable at approval stage.</w:t>
            </w:r>
          </w:p>
        </w:tc>
      </w:tr>
      <w:tr w:rsidR="00893E17" w14:paraId="211D6505" w14:textId="77777777">
        <w:tblPrEx>
          <w:tblCellMar>
            <w:top w:w="0" w:type="dxa"/>
            <w:bottom w:w="0" w:type="dxa"/>
          </w:tblCellMar>
        </w:tblPrEx>
        <w:tc>
          <w:tcPr>
            <w:tcW w:w="7400" w:type="dxa"/>
            <w:gridSpan w:val="5"/>
            <w:tcBorders>
              <w:top w:val="single" w:sz="4" w:space="0" w:color="CCCCCC"/>
              <w:left w:val="single" w:sz="4" w:space="0" w:color="CCCCCC"/>
              <w:bottom w:val="single" w:sz="4" w:space="0" w:color="CCCCCC"/>
              <w:right w:val="single" w:sz="4" w:space="0" w:color="CCCCCC"/>
            </w:tcBorders>
            <w:shd w:val="clear" w:color="auto" w:fill="1A7A4A"/>
            <w:tcMar>
              <w:top w:w="100" w:type="dxa"/>
              <w:left w:w="140" w:type="dxa"/>
              <w:bottom w:w="100" w:type="dxa"/>
              <w:right w:w="140" w:type="dxa"/>
            </w:tcMar>
          </w:tcPr>
          <w:p w14:paraId="05C79643" w14:textId="77777777" w:rsidR="00893E17" w:rsidRDefault="00B8221C">
            <w:r>
              <w:rPr>
                <w:b/>
                <w:bCs/>
                <w:color w:val="FFFFFF"/>
                <w:sz w:val="18"/>
                <w:szCs w:val="18"/>
              </w:rPr>
              <w:t>RESEARCH QUESTION EMERGING FROM THE LITERATURE'S UNFINISHED BUSINESS:</w:t>
            </w:r>
          </w:p>
        </w:tc>
        <w:tc>
          <w:tcPr>
            <w:tcW w:w="22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54DC43AF" w14:textId="77777777" w:rsidR="00893E17" w:rsidRDefault="00B8221C">
            <w:r>
              <w:rPr>
                <w:b/>
                <w:bCs/>
                <w:color w:val="1A7A4A"/>
                <w:sz w:val="17"/>
                <w:szCs w:val="17"/>
              </w:rPr>
              <w:t xml:space="preserve">Does the quality of a development project's design, assessed </w:t>
            </w:r>
            <w:proofErr w:type="gramStart"/>
            <w:r>
              <w:rPr>
                <w:b/>
                <w:bCs/>
                <w:color w:val="1A7A4A"/>
                <w:sz w:val="17"/>
                <w:szCs w:val="17"/>
              </w:rPr>
              <w:t>at the moment</w:t>
            </w:r>
            <w:proofErr w:type="gramEnd"/>
            <w:r>
              <w:rPr>
                <w:b/>
                <w:bCs/>
                <w:color w:val="1A7A4A"/>
                <w:sz w:val="17"/>
                <w:szCs w:val="17"/>
              </w:rPr>
              <w:t xml:space="preserve"> of approval by an independent evaluator, causally predict whether that project achieves its stated objectives — across institutions, regions, sectors, and time periods?</w:t>
            </w:r>
          </w:p>
        </w:tc>
      </w:tr>
    </w:tbl>
    <w:p w14:paraId="7FB93F7D" w14:textId="77777777" w:rsidR="00893E17" w:rsidRDefault="00893E17">
      <w:pPr>
        <w:spacing w:after="160"/>
      </w:pPr>
    </w:p>
    <w:p w14:paraId="00C593FA" w14:textId="77777777" w:rsidR="00893E17" w:rsidRDefault="00B8221C">
      <w:pPr>
        <w:spacing w:after="80"/>
      </w:pPr>
      <w:r>
        <w:rPr>
          <w:b/>
          <w:bCs/>
          <w:color w:val="1B2A4A"/>
          <w:sz w:val="22"/>
          <w:szCs w:val="22"/>
        </w:rPr>
        <w:t>HOW THIS PAPER ANSWERS EACH GAP</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9"/>
        <w:gridCol w:w="1190"/>
        <w:gridCol w:w="4150"/>
        <w:gridCol w:w="2921"/>
      </w:tblGrid>
      <w:tr w:rsidR="00893E17" w14:paraId="267E1C5B" w14:textId="77777777">
        <w:tblPrEx>
          <w:tblCellMar>
            <w:top w:w="0" w:type="dxa"/>
            <w:bottom w:w="0" w:type="dxa"/>
          </w:tblCellMar>
        </w:tblPrEx>
        <w:trPr>
          <w:tblHeader/>
        </w:trPr>
        <w:tc>
          <w:tcPr>
            <w:tcW w:w="11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36CA9126" w14:textId="77777777" w:rsidR="00893E17" w:rsidRDefault="00B8221C">
            <w:r>
              <w:rPr>
                <w:b/>
                <w:bCs/>
                <w:color w:val="FFFFFF"/>
                <w:sz w:val="18"/>
                <w:szCs w:val="18"/>
              </w:rPr>
              <w:t>Stream</w:t>
            </w:r>
          </w:p>
        </w:tc>
        <w:tc>
          <w:tcPr>
            <w:tcW w:w="12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142F228B" w14:textId="77777777" w:rsidR="00893E17" w:rsidRDefault="00B8221C">
            <w:r>
              <w:rPr>
                <w:b/>
                <w:bCs/>
                <w:color w:val="FFFFFF"/>
                <w:sz w:val="18"/>
                <w:szCs w:val="18"/>
              </w:rPr>
              <w:t>Authors</w:t>
            </w:r>
          </w:p>
        </w:tc>
        <w:tc>
          <w:tcPr>
            <w:tcW w:w="43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6F4CF53A" w14:textId="77777777" w:rsidR="00893E17" w:rsidRDefault="00B8221C">
            <w:r>
              <w:rPr>
                <w:b/>
                <w:bCs/>
                <w:color w:val="FFFFFF"/>
                <w:sz w:val="18"/>
                <w:szCs w:val="18"/>
              </w:rPr>
              <w:t>The Gap They Left</w:t>
            </w:r>
          </w:p>
        </w:tc>
        <w:tc>
          <w:tcPr>
            <w:tcW w:w="3000" w:type="dxa"/>
            <w:tcBorders>
              <w:top w:val="single" w:sz="4" w:space="0" w:color="CCCCCC"/>
              <w:left w:val="single" w:sz="4" w:space="0" w:color="CCCCCC"/>
              <w:bottom w:val="single" w:sz="4" w:space="0" w:color="CCCCCC"/>
              <w:right w:val="single" w:sz="4" w:space="0" w:color="CCCCCC"/>
            </w:tcBorders>
            <w:shd w:val="clear" w:color="auto" w:fill="1B2A4A"/>
            <w:tcMar>
              <w:top w:w="100" w:type="dxa"/>
              <w:left w:w="140" w:type="dxa"/>
              <w:bottom w:w="100" w:type="dxa"/>
              <w:right w:w="140" w:type="dxa"/>
            </w:tcMar>
          </w:tcPr>
          <w:p w14:paraId="76689DE4" w14:textId="77777777" w:rsidR="00893E17" w:rsidRDefault="00B8221C">
            <w:r>
              <w:rPr>
                <w:b/>
                <w:bCs/>
                <w:color w:val="FFFFFF"/>
                <w:sz w:val="18"/>
                <w:szCs w:val="18"/>
              </w:rPr>
              <w:t>This Paper's Answer</w:t>
            </w:r>
          </w:p>
        </w:tc>
      </w:tr>
      <w:tr w:rsidR="00893E17" w14:paraId="3C3E4158"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4F129185" w14:textId="77777777" w:rsidR="00893E17" w:rsidRDefault="00B8221C">
            <w:r>
              <w:rPr>
                <w:b/>
                <w:bCs/>
                <w:color w:val="1B2A4A"/>
                <w:sz w:val="16"/>
                <w:szCs w:val="16"/>
              </w:rPr>
              <w:t>Aid Effectiveness</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16657994" w14:textId="77777777" w:rsidR="00893E17" w:rsidRDefault="00B8221C">
            <w:r>
              <w:rPr>
                <w:i/>
                <w:iCs/>
                <w:color w:val="111111"/>
                <w:sz w:val="16"/>
                <w:szCs w:val="16"/>
              </w:rPr>
              <w:t>Easterly (2006) Moyo (2009)</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DF5E993" w14:textId="77777777" w:rsidR="00893E17" w:rsidRDefault="00B8221C">
            <w:r>
              <w:rPr>
                <w:color w:val="7A4A00"/>
                <w:sz w:val="16"/>
                <w:szCs w:val="16"/>
              </w:rPr>
              <w:t>Why does aid fail at the project level? No mechanism identified. No test of whether individual project design quality drives the failure pattern Moyo describes systemically.</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6E0E78D4" w14:textId="77777777" w:rsidR="00893E17" w:rsidRDefault="00B8221C">
            <w:r>
              <w:rPr>
                <w:b/>
                <w:bCs/>
                <w:color w:val="1A7A4A"/>
                <w:sz w:val="16"/>
                <w:szCs w:val="16"/>
              </w:rPr>
              <w:t>You test the project-level mechanism Moyo identifies but never measures</w:t>
            </w:r>
          </w:p>
        </w:tc>
      </w:tr>
      <w:tr w:rsidR="00893E17" w14:paraId="55A50005"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B5DAF33" w14:textId="77777777" w:rsidR="00893E17" w:rsidRDefault="00B8221C">
            <w:r>
              <w:rPr>
                <w:b/>
                <w:bCs/>
                <w:color w:val="1B2A4A"/>
                <w:sz w:val="16"/>
                <w:szCs w:val="16"/>
              </w:rPr>
              <w:t>Institutional Quality</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4171664" w14:textId="77777777" w:rsidR="00893E17" w:rsidRDefault="00B8221C">
            <w:r>
              <w:rPr>
                <w:i/>
                <w:iCs/>
                <w:color w:val="111111"/>
                <w:sz w:val="16"/>
                <w:szCs w:val="16"/>
              </w:rPr>
              <w:t>Acemoglu &amp; Robinson (2012)</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54C2AC28" w14:textId="77777777" w:rsidR="00893E17" w:rsidRDefault="00B8221C">
            <w:r>
              <w:rPr>
                <w:color w:val="7A4A00"/>
                <w:sz w:val="16"/>
                <w:szCs w:val="16"/>
              </w:rPr>
              <w:t>Country-level only. Cannot predict which specific projects succeed within a given institutional environment. No project-level test of whether design quality mediates the institutional effect.</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4B534C5A" w14:textId="77777777" w:rsidR="00893E17" w:rsidRDefault="00B8221C">
            <w:r>
              <w:rPr>
                <w:b/>
                <w:bCs/>
                <w:color w:val="1A7A4A"/>
                <w:sz w:val="16"/>
                <w:szCs w:val="16"/>
              </w:rPr>
              <w:t>You show design quality predicts outcomes within countries — holding institutions constant via country fixed effects</w:t>
            </w:r>
          </w:p>
        </w:tc>
      </w:tr>
      <w:tr w:rsidR="00893E17" w14:paraId="533224FF"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35FEAC2A" w14:textId="77777777" w:rsidR="00893E17" w:rsidRDefault="00B8221C">
            <w:r>
              <w:rPr>
                <w:b/>
                <w:bCs/>
                <w:color w:val="1B2A4A"/>
                <w:sz w:val="16"/>
                <w:szCs w:val="16"/>
              </w:rPr>
              <w:t>RCT Evidence</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061F93C3" w14:textId="77777777" w:rsidR="00893E17" w:rsidRDefault="00B8221C">
            <w:r>
              <w:rPr>
                <w:i/>
                <w:iCs/>
                <w:color w:val="111111"/>
                <w:sz w:val="16"/>
                <w:szCs w:val="16"/>
              </w:rPr>
              <w:t>Banerjee &amp; Duflo (2011)</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47464C7" w14:textId="77777777" w:rsidR="00893E17" w:rsidRDefault="00B8221C">
            <w:r>
              <w:rPr>
                <w:color w:val="7A4A00"/>
                <w:sz w:val="16"/>
                <w:szCs w:val="16"/>
              </w:rPr>
              <w:t>No portfolio-scale framework. RCT findings do not generalise across 70 years, 187 countries, and 12 sectors. Cannot answer whether design quality is a universal predictor at MDB portfolio scale.</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004ADDF8" w14:textId="77777777" w:rsidR="00893E17" w:rsidRDefault="00B8221C">
            <w:r>
              <w:rPr>
                <w:b/>
                <w:bCs/>
                <w:color w:val="1A7A4A"/>
                <w:sz w:val="16"/>
                <w:szCs w:val="16"/>
              </w:rPr>
              <w:t>You provide the portfolio-scale test that RCTs cannot — 12,328 projects, zero exceptions across all regions</w:t>
            </w:r>
          </w:p>
        </w:tc>
      </w:tr>
      <w:tr w:rsidR="00893E17" w14:paraId="09318C11"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5C2236E" w14:textId="77777777" w:rsidR="00893E17" w:rsidRDefault="00B8221C">
            <w:r>
              <w:rPr>
                <w:b/>
                <w:bCs/>
                <w:color w:val="1B2A4A"/>
                <w:sz w:val="16"/>
                <w:szCs w:val="16"/>
              </w:rPr>
              <w:t>IEG Self-Evaluation</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3D5FE30" w14:textId="77777777" w:rsidR="00893E17" w:rsidRDefault="00B8221C">
            <w:r>
              <w:rPr>
                <w:i/>
                <w:iCs/>
                <w:color w:val="111111"/>
                <w:sz w:val="16"/>
                <w:szCs w:val="16"/>
              </w:rPr>
              <w:t>IEG RAP Reports (2013–2023)</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03855F5E" w14:textId="77777777" w:rsidR="00893E17" w:rsidRDefault="00B8221C">
            <w:r>
              <w:rPr>
                <w:color w:val="7A4A00"/>
                <w:sz w:val="16"/>
                <w:szCs w:val="16"/>
              </w:rPr>
              <w:t>Descriptive only. No causal identification — cannot rule out reverse causality, halo bias, or omitted variable confounding. No cross-institutional replication. No odds ratio or effect size. Treated as monitoring, not research.</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2EA84A27" w14:textId="77777777" w:rsidR="00893E17" w:rsidRDefault="00B8221C">
            <w:r>
              <w:rPr>
                <w:b/>
                <w:bCs/>
                <w:color w:val="1A7A4A"/>
                <w:sz w:val="16"/>
                <w:szCs w:val="16"/>
              </w:rPr>
              <w:t>You take the IEG's own descriptive finding and causally identify it for the first time</w:t>
            </w:r>
          </w:p>
        </w:tc>
      </w:tr>
      <w:tr w:rsidR="00893E17" w14:paraId="69FD7E96"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4CD7301B" w14:textId="77777777" w:rsidR="00893E17" w:rsidRDefault="00B8221C">
            <w:r>
              <w:rPr>
                <w:b/>
                <w:bCs/>
                <w:color w:val="1B2A4A"/>
                <w:sz w:val="16"/>
                <w:szCs w:val="16"/>
              </w:rPr>
              <w:t>MDB Project Econometrics</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765D6408" w14:textId="77777777" w:rsidR="00893E17" w:rsidRDefault="00B8221C">
            <w:r>
              <w:rPr>
                <w:i/>
                <w:iCs/>
                <w:color w:val="111111"/>
                <w:sz w:val="16"/>
                <w:szCs w:val="16"/>
              </w:rPr>
              <w:t>Denizer, Kaufmann &amp; Kraay (2013) Kilby (2015)</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77D37A25" w14:textId="77777777" w:rsidR="00893E17" w:rsidRDefault="00B8221C">
            <w:r>
              <w:rPr>
                <w:color w:val="7A4A00"/>
                <w:sz w:val="16"/>
                <w:szCs w:val="16"/>
              </w:rPr>
              <w:t>Design quality is not theorised or measured as a construct. Quality at Entry appears as a control variable, never as the primary explanatory variable. No cross-institutional replication. No causal identification of design quality specifically.</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0701C55F" w14:textId="77777777" w:rsidR="00893E17" w:rsidRDefault="00B8221C">
            <w:r>
              <w:rPr>
                <w:b/>
                <w:bCs/>
                <w:color w:val="1A7A4A"/>
                <w:sz w:val="16"/>
                <w:szCs w:val="16"/>
              </w:rPr>
              <w:t>You make QE the primary explanatory variable for the first time and causally identify it across two institutions</w:t>
            </w:r>
          </w:p>
        </w:tc>
      </w:tr>
      <w:tr w:rsidR="00893E17" w14:paraId="03F3CE3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3CEE3FB9" w14:textId="77777777" w:rsidR="00893E17" w:rsidRDefault="00B8221C">
            <w:r>
              <w:rPr>
                <w:b/>
                <w:bCs/>
                <w:color w:val="1B2A4A"/>
                <w:sz w:val="16"/>
                <w:szCs w:val="16"/>
              </w:rPr>
              <w:t>Development Project Management</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1B0F6005" w14:textId="77777777" w:rsidR="00893E17" w:rsidRDefault="00B8221C">
            <w:r>
              <w:rPr>
                <w:i/>
                <w:iCs/>
                <w:color w:val="111111"/>
                <w:sz w:val="16"/>
                <w:szCs w:val="16"/>
              </w:rPr>
              <w:t>Ika, Diallo &amp; Thuillier (2012)</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37E3620E" w14:textId="77777777" w:rsidR="00893E17" w:rsidRDefault="00B8221C">
            <w:r>
              <w:rPr>
                <w:color w:val="7A4A00"/>
                <w:sz w:val="16"/>
                <w:szCs w:val="16"/>
              </w:rPr>
              <w:t>Critical success factors identified qualitatively but never causally tested at full portfolio scale. Survey-based — subject to recall and social desirability bias. No econometric validation across 12,328 projects.</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29357C71" w14:textId="77777777" w:rsidR="00893E17" w:rsidRDefault="00B8221C">
            <w:r>
              <w:rPr>
                <w:b/>
                <w:bCs/>
                <w:color w:val="1A7A4A"/>
                <w:sz w:val="16"/>
                <w:szCs w:val="16"/>
              </w:rPr>
              <w:t>You provide the econometric validation of Ika et al.'s qualitative finding at full portfolio scale</w:t>
            </w:r>
          </w:p>
        </w:tc>
      </w:tr>
      <w:tr w:rsidR="00893E17" w14:paraId="01DA396A"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3B3B2C03" w14:textId="77777777" w:rsidR="00893E17" w:rsidRDefault="00B8221C">
            <w:r>
              <w:rPr>
                <w:b/>
                <w:bCs/>
                <w:color w:val="1B2A4A"/>
                <w:sz w:val="16"/>
                <w:szCs w:val="16"/>
              </w:rPr>
              <w:lastRenderedPageBreak/>
              <w:t>Principal-Agent Theory</w:t>
            </w:r>
          </w:p>
        </w:tc>
        <w:tc>
          <w:tcPr>
            <w:tcW w:w="1200" w:type="dxa"/>
            <w:tcBorders>
              <w:top w:val="single" w:sz="4" w:space="0" w:color="CCCCCC"/>
              <w:left w:val="single" w:sz="4" w:space="0" w:color="CCCCCC"/>
              <w:bottom w:val="single" w:sz="4" w:space="0" w:color="CCCCCC"/>
              <w:right w:val="single" w:sz="4" w:space="0" w:color="CCCCCC"/>
            </w:tcBorders>
            <w:shd w:val="clear" w:color="auto" w:fill="EFF7F7"/>
            <w:tcMar>
              <w:top w:w="100" w:type="dxa"/>
              <w:left w:w="140" w:type="dxa"/>
              <w:bottom w:w="100" w:type="dxa"/>
              <w:right w:w="140" w:type="dxa"/>
            </w:tcMar>
          </w:tcPr>
          <w:p w14:paraId="6814379E" w14:textId="77777777" w:rsidR="00893E17" w:rsidRDefault="00B8221C">
            <w:r>
              <w:rPr>
                <w:i/>
                <w:iCs/>
                <w:color w:val="111111"/>
                <w:sz w:val="16"/>
                <w:szCs w:val="16"/>
              </w:rPr>
              <w:t>Chauvet, Collier &amp; Fuster (2017)</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6AA6A201" w14:textId="77777777" w:rsidR="00893E17" w:rsidRDefault="00B8221C">
            <w:r>
              <w:rPr>
                <w:color w:val="7A4A00"/>
                <w:sz w:val="16"/>
                <w:szCs w:val="16"/>
              </w:rPr>
              <w:t>Supervision is measured post-design — cannot separate design quality from implementation quality. No empirical test of whether misalignment manifests at the design stage specifically. Design quality not modelled as the mechanism.</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15A1F900" w14:textId="77777777" w:rsidR="00893E17" w:rsidRDefault="00B8221C">
            <w:r>
              <w:rPr>
                <w:b/>
                <w:bCs/>
                <w:color w:val="1A7A4A"/>
                <w:sz w:val="16"/>
                <w:szCs w:val="16"/>
              </w:rPr>
              <w:t>You show the misalignment Chauvet et al. theorise is observable at design quality entry — before implementation begins</w:t>
            </w:r>
          </w:p>
        </w:tc>
      </w:tr>
      <w:tr w:rsidR="00893E17" w14:paraId="6FB1133D" w14:textId="77777777">
        <w:tblPrEx>
          <w:tblCellMar>
            <w:top w:w="0" w:type="dxa"/>
            <w:bottom w:w="0" w:type="dxa"/>
          </w:tblCellMar>
        </w:tblPrEx>
        <w:tc>
          <w:tcPr>
            <w:tcW w:w="11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2BD944C4" w14:textId="77777777" w:rsidR="00893E17" w:rsidRDefault="00B8221C">
            <w:r>
              <w:rPr>
                <w:b/>
                <w:bCs/>
                <w:color w:val="1B2A4A"/>
                <w:sz w:val="16"/>
                <w:szCs w:val="16"/>
              </w:rPr>
              <w:t>Climate Finance Quality</w:t>
            </w:r>
          </w:p>
        </w:tc>
        <w:tc>
          <w:tcPr>
            <w:tcW w:w="1200" w:type="dxa"/>
            <w:tcBorders>
              <w:top w:val="single" w:sz="4" w:space="0" w:color="CCCCCC"/>
              <w:left w:val="single" w:sz="4" w:space="0" w:color="CCCCCC"/>
              <w:bottom w:val="single" w:sz="4" w:space="0" w:color="CCCCCC"/>
              <w:right w:val="single" w:sz="4" w:space="0" w:color="CCCCCC"/>
            </w:tcBorders>
            <w:shd w:val="clear" w:color="auto" w:fill="F4F4F4"/>
            <w:tcMar>
              <w:top w:w="100" w:type="dxa"/>
              <w:left w:w="140" w:type="dxa"/>
              <w:bottom w:w="100" w:type="dxa"/>
              <w:right w:w="140" w:type="dxa"/>
            </w:tcMar>
          </w:tcPr>
          <w:p w14:paraId="492FE1F4" w14:textId="77777777" w:rsidR="00893E17" w:rsidRDefault="00B8221C">
            <w:r>
              <w:rPr>
                <w:i/>
                <w:iCs/>
                <w:color w:val="111111"/>
                <w:sz w:val="16"/>
                <w:szCs w:val="16"/>
              </w:rPr>
              <w:t>Buchner et al. (2023) OECD DAC (2022)</w:t>
            </w:r>
          </w:p>
        </w:tc>
        <w:tc>
          <w:tcPr>
            <w:tcW w:w="4300" w:type="dxa"/>
            <w:tcBorders>
              <w:top w:val="single" w:sz="4" w:space="0" w:color="CCCCCC"/>
              <w:left w:val="single" w:sz="4" w:space="0" w:color="CCCCCC"/>
              <w:bottom w:val="single" w:sz="4" w:space="0" w:color="CCCCCC"/>
              <w:right w:val="single" w:sz="4" w:space="0" w:color="CCCCCC"/>
            </w:tcBorders>
            <w:shd w:val="clear" w:color="auto" w:fill="FFF8E1"/>
            <w:tcMar>
              <w:top w:w="100" w:type="dxa"/>
              <w:left w:w="140" w:type="dxa"/>
              <w:bottom w:w="100" w:type="dxa"/>
              <w:right w:w="140" w:type="dxa"/>
            </w:tcMar>
          </w:tcPr>
          <w:p w14:paraId="4CFC3AD0" w14:textId="77777777" w:rsidR="00893E17" w:rsidRDefault="00B8221C">
            <w:r>
              <w:rPr>
                <w:color w:val="7A4A00"/>
                <w:sz w:val="16"/>
                <w:szCs w:val="16"/>
              </w:rPr>
              <w:t>No validated ex-ante quality standard exists for climate finance project design. Cannot predict whether a climate project will succeed before it is implemented. No design quality instrument applicable at approval stage.</w:t>
            </w:r>
          </w:p>
        </w:tc>
        <w:tc>
          <w:tcPr>
            <w:tcW w:w="3000" w:type="dxa"/>
            <w:tcBorders>
              <w:top w:val="single" w:sz="4" w:space="0" w:color="CCCCCC"/>
              <w:left w:val="single" w:sz="4" w:space="0" w:color="CCCCCC"/>
              <w:bottom w:val="single" w:sz="4" w:space="0" w:color="CCCCCC"/>
              <w:right w:val="single" w:sz="4" w:space="0" w:color="CCCCCC"/>
            </w:tcBorders>
            <w:shd w:val="clear" w:color="auto" w:fill="E8F5E9"/>
            <w:tcMar>
              <w:top w:w="100" w:type="dxa"/>
              <w:left w:w="140" w:type="dxa"/>
              <w:bottom w:w="100" w:type="dxa"/>
              <w:right w:w="140" w:type="dxa"/>
            </w:tcMar>
          </w:tcPr>
          <w:p w14:paraId="036909FE" w14:textId="77777777" w:rsidR="00893E17" w:rsidRDefault="00B8221C">
            <w:r>
              <w:rPr>
                <w:b/>
                <w:bCs/>
                <w:color w:val="1A7A4A"/>
                <w:sz w:val="16"/>
                <w:szCs w:val="16"/>
              </w:rPr>
              <w:t>Your finding provides the first empirically validated basis for an ex-ante design quality standard in climate finance</w:t>
            </w:r>
          </w:p>
        </w:tc>
      </w:tr>
    </w:tbl>
    <w:p w14:paraId="773BED50" w14:textId="77777777" w:rsidR="00893E17" w:rsidRDefault="00893E17">
      <w:pPr>
        <w:spacing w:after="160"/>
      </w:pPr>
    </w:p>
    <w:p w14:paraId="510C1477" w14:textId="77777777" w:rsidR="00893E17" w:rsidRDefault="00B8221C">
      <w:r>
        <w:rPr>
          <w:i/>
          <w:iCs/>
          <w:color w:val="666666"/>
          <w:sz w:val="16"/>
          <w:szCs w:val="16"/>
        </w:rPr>
        <w:t>Note: Research question derived from systematic review of gaps across eight literature streams. No stream has previously tested whether IEG Quality at Entry causally predicts project Outcome at full portfolio scale with cross-institutional replication and formal causal identification. This paper provides that test.</w:t>
      </w:r>
    </w:p>
    <w:sectPr w:rsidR="00893E17">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50224"/>
    <w:multiLevelType w:val="hybridMultilevel"/>
    <w:tmpl w:val="B06C923E"/>
    <w:lvl w:ilvl="0" w:tplc="C27465A8">
      <w:start w:val="1"/>
      <w:numFmt w:val="bullet"/>
      <w:lvlText w:val="●"/>
      <w:lvlJc w:val="left"/>
      <w:pPr>
        <w:ind w:left="720" w:hanging="360"/>
      </w:pPr>
    </w:lvl>
    <w:lvl w:ilvl="1" w:tplc="3C527C5C">
      <w:start w:val="1"/>
      <w:numFmt w:val="bullet"/>
      <w:lvlText w:val="○"/>
      <w:lvlJc w:val="left"/>
      <w:pPr>
        <w:ind w:left="1440" w:hanging="360"/>
      </w:pPr>
    </w:lvl>
    <w:lvl w:ilvl="2" w:tplc="32149C66">
      <w:start w:val="1"/>
      <w:numFmt w:val="bullet"/>
      <w:lvlText w:val="■"/>
      <w:lvlJc w:val="left"/>
      <w:pPr>
        <w:ind w:left="2160" w:hanging="360"/>
      </w:pPr>
    </w:lvl>
    <w:lvl w:ilvl="3" w:tplc="6116FC66">
      <w:start w:val="1"/>
      <w:numFmt w:val="bullet"/>
      <w:lvlText w:val="●"/>
      <w:lvlJc w:val="left"/>
      <w:pPr>
        <w:ind w:left="2880" w:hanging="360"/>
      </w:pPr>
    </w:lvl>
    <w:lvl w:ilvl="4" w:tplc="8CA660D8">
      <w:start w:val="1"/>
      <w:numFmt w:val="bullet"/>
      <w:lvlText w:val="○"/>
      <w:lvlJc w:val="left"/>
      <w:pPr>
        <w:ind w:left="3600" w:hanging="360"/>
      </w:pPr>
    </w:lvl>
    <w:lvl w:ilvl="5" w:tplc="9B6ACCCE">
      <w:start w:val="1"/>
      <w:numFmt w:val="bullet"/>
      <w:lvlText w:val="■"/>
      <w:lvlJc w:val="left"/>
      <w:pPr>
        <w:ind w:left="4320" w:hanging="360"/>
      </w:pPr>
    </w:lvl>
    <w:lvl w:ilvl="6" w:tplc="A8D0BDF4">
      <w:start w:val="1"/>
      <w:numFmt w:val="bullet"/>
      <w:lvlText w:val="●"/>
      <w:lvlJc w:val="left"/>
      <w:pPr>
        <w:ind w:left="5040" w:hanging="360"/>
      </w:pPr>
    </w:lvl>
    <w:lvl w:ilvl="7" w:tplc="EFD0B87C">
      <w:start w:val="1"/>
      <w:numFmt w:val="bullet"/>
      <w:lvlText w:val="●"/>
      <w:lvlJc w:val="left"/>
      <w:pPr>
        <w:ind w:left="5760" w:hanging="360"/>
      </w:pPr>
    </w:lvl>
    <w:lvl w:ilvl="8" w:tplc="DF14889C">
      <w:start w:val="1"/>
      <w:numFmt w:val="bullet"/>
      <w:lvlText w:val="●"/>
      <w:lvlJc w:val="left"/>
      <w:pPr>
        <w:ind w:left="6480" w:hanging="360"/>
      </w:pPr>
    </w:lvl>
  </w:abstractNum>
  <w:num w:numId="1" w16cid:durableId="7920181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E17"/>
    <w:rsid w:val="00093EDA"/>
    <w:rsid w:val="00893E17"/>
    <w:rsid w:val="00B050CE"/>
    <w:rsid w:val="00B8221C"/>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F7A2"/>
  <w15:docId w15:val="{B7C93DD6-8EF6-46E7-84FB-86DBB8C30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1285</Words>
  <Characters>7511</Characters>
  <Application>Microsoft Office Word</Application>
  <DocSecurity>0</DocSecurity>
  <Lines>129</Lines>
  <Paragraphs>89</Paragraphs>
  <ScaleCrop>false</ScaleCrop>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Lixin Liu</cp:lastModifiedBy>
  <cp:revision>2</cp:revision>
  <dcterms:created xsi:type="dcterms:W3CDTF">2026-02-23T02:12:00Z</dcterms:created>
  <dcterms:modified xsi:type="dcterms:W3CDTF">2026-02-23T02:12:00Z</dcterms:modified>
</cp:coreProperties>
</file>