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240"/>
        <w:ind w:left="360"/>
      </w:pPr>
      <w:r>
        <w:rPr>
          <w:rFonts w:ascii="Arial" w:cs="Arial" w:eastAsia="Arial" w:hAnsi="Arial"/>
          <w:b/>
          <w:bCs/>
          <w:color w:val="FFFFFF"/>
          <w:sz w:val="44"/>
          <w:szCs w:val="44"/>
        </w:rPr>
        <w:t xml:space="preserve">MDB ECONOMETRICS STREAM — COMPLETE SYNTHESIS OUTPUT</w:t>
      </w:r>
    </w:p>
    <w:p>
      <w:pPr>
        <w:spacing w:before="0" w:after="240"/>
      </w:pPr>
      <w:r>
        <w:rPr>
          <w:rFonts w:ascii="Arial" w:cs="Arial" w:eastAsia="Arial" w:hAnsi="Arial"/>
          <w:i/>
          <w:iCs/>
          <w:color w:val="404040"/>
          <w:sz w:val="18"/>
          <w:szCs w:val="18"/>
        </w:rPr>
        <w:t xml:space="preserve">PhD Research Project: Brandon (QUT/Griffith) | QE→Outcome OR=27.8 | n=12,328 World Bank Projects | Literature → Gap → Question → Model → Data → Result</w:t>
      </w:r>
    </w:p>
    <w:p>
      <w:pPr>
        <w:pBdr>
          <w:bottom w:val="single" w:color="2E5FA3" w:sz="6"/>
        </w:pBdr>
        <w:spacing w:before="120" w:after="120"/>
      </w:pPr>
    </w:p>
    <w:p>
      <w:pPr>
        <w:spacing w:before="240" w:after="200"/>
      </w:pPr>
      <w:r>
        <w:rPr>
          <w:rFonts w:ascii="Arial" w:cs="Arial" w:eastAsia="Arial" w:hAnsi="Arial"/>
          <w:b/>
          <w:bCs/>
          <w:color w:val="1F3864"/>
          <w:sz w:val="32"/>
          <w:szCs w:val="32"/>
        </w:rPr>
        <w:t xml:space="preserve">TAB A — INCLUSION SCREEN &amp; ALL CODED RECORDS (17 Fields)</w:t>
      </w:r>
    </w:p>
    <w:p>
      <w:pPr>
        <w:spacing w:before="0" w:after="160"/>
      </w:pPr>
      <w:r>
        <w:rPr>
          <w:rFonts w:ascii="Arial" w:cs="Arial" w:eastAsia="Arial" w:hAnsi="Arial"/>
          <w:i/>
          <w:iCs/>
          <w:color w:val="404040"/>
          <w:sz w:val="18"/>
          <w:szCs w:val="18"/>
        </w:rPr>
        <w:t xml:space="preserve">Stream: MDB Econometrics  |  Papers coded: 6  |  Included: 5  |  Excluded: 1  |  Deep Read: 2 (P01, P02)</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80"/>
        <w:gridCol w:w="760"/>
        <w:gridCol w:w="420"/>
        <w:gridCol w:w="1500"/>
        <w:gridCol w:w="840"/>
        <w:gridCol w:w="760"/>
        <w:gridCol w:w="1200"/>
        <w:gridCol w:w="980"/>
        <w:gridCol w:w="980"/>
        <w:gridCol w:w="720"/>
        <w:gridCol w:w="980"/>
        <w:gridCol w:w="540"/>
        <w:gridCol w:w="1600"/>
        <w:gridCol w:w="1400"/>
        <w:gridCol w:w="540"/>
        <w:gridCol w:w="440"/>
        <w:gridCol w:w="960"/>
      </w:tblGrid>
      <w:tr>
        <w:trPr>
          <w:tblHeader/>
        </w:trPr>
        <w:tc>
          <w:tcPr>
            <w:tcW w:type="dxa" w:w="5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Paper_ID</w:t>
            </w:r>
          </w:p>
        </w:tc>
        <w:tc>
          <w:tcPr>
            <w:tcW w:type="dxa" w:w="7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Authors</w:t>
            </w:r>
          </w:p>
        </w:tc>
        <w:tc>
          <w:tcPr>
            <w:tcW w:type="dxa" w:w="4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Year</w:t>
            </w:r>
          </w:p>
        </w:tc>
        <w:tc>
          <w:tcPr>
            <w:tcW w:type="dxa" w:w="15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Title</w:t>
            </w:r>
          </w:p>
        </w:tc>
        <w:tc>
          <w:tcPr>
            <w:tcW w:type="dxa" w:w="84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Journal / Source</w:t>
            </w:r>
          </w:p>
        </w:tc>
        <w:tc>
          <w:tcPr>
            <w:tcW w:type="dxa" w:w="7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Stream</w:t>
            </w:r>
          </w:p>
        </w:tc>
        <w:tc>
          <w:tcPr>
            <w:tcW w:type="dxa" w:w="1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Research_Question</w:t>
            </w:r>
          </w:p>
        </w:tc>
        <w:tc>
          <w:tcPr>
            <w:tcW w:type="dxa" w:w="9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Outcome_Variable</w:t>
            </w:r>
          </w:p>
        </w:tc>
        <w:tc>
          <w:tcPr>
            <w:tcW w:type="dxa" w:w="9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Main_Predictor</w:t>
            </w:r>
          </w:p>
        </w:tc>
        <w:tc>
          <w:tcPr>
            <w:tcW w:type="dxa" w:w="7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Model_Type</w:t>
            </w:r>
          </w:p>
        </w:tc>
        <w:tc>
          <w:tcPr>
            <w:tcW w:type="dxa" w:w="9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Dataset</w:t>
            </w:r>
          </w:p>
        </w:tc>
        <w:tc>
          <w:tcPr>
            <w:tcW w:type="dxa" w:w="54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n_Projects</w:t>
            </w:r>
          </w:p>
        </w:tc>
        <w:tc>
          <w:tcPr>
            <w:tcW w:type="dxa" w:w="16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Key_Finding</w:t>
            </w:r>
          </w:p>
        </w:tc>
        <w:tc>
          <w:tcPr>
            <w:tcW w:type="dxa" w:w="1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Gap_They_Left</w:t>
            </w:r>
          </w:p>
        </w:tc>
        <w:tc>
          <w:tcPr>
            <w:tcW w:type="dxa" w:w="54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Relevant_to_RQ</w:t>
            </w:r>
          </w:p>
        </w:tc>
        <w:tc>
          <w:tcPr>
            <w:tcW w:type="dxa" w:w="44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Deep_Read</w:t>
            </w:r>
          </w:p>
        </w:tc>
        <w:tc>
          <w:tcPr>
            <w:tcW w:type="dxa" w:w="9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6"/>
                <w:szCs w:val="16"/>
              </w:rPr>
              <w:t xml:space="preserve">Notes</w:t>
            </w:r>
          </w:p>
        </w:tc>
      </w:tr>
      <w:tr>
        <w:tc>
          <w:tcPr>
            <w:tcW w:type="dxa" w:w="58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P01</w:t>
            </w:r>
          </w:p>
        </w:tc>
        <w:tc>
          <w:tcPr>
            <w:tcW w:type="dxa" w:w="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Kilby, C.</w:t>
            </w:r>
          </w:p>
        </w:tc>
        <w:tc>
          <w:tcPr>
            <w:tcW w:type="dxa" w:w="4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2012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Assessing the contribution of donor agencies to aid effectiveness: The impact of World Bank preparation on project outcomes</w:t>
            </w:r>
          </w:p>
        </w:tc>
        <w:tc>
          <w:tcPr>
            <w:tcW w:type="dxa" w:w="8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Working Paper, Villanova University</w:t>
            </w:r>
          </w:p>
        </w:tc>
        <w:tc>
          <w:tcPr>
            <w:tcW w:type="dxa" w:w="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MDB Econometrics</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Does longer World Bank project preparation increase the probability of a satisfactory outcome rating?</w:t>
            </w:r>
          </w:p>
        </w:tc>
        <w:tc>
          <w:tcPr>
            <w:tcW w:type="dxa" w:w="9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IEG satisfactory outcome rating (binary)</w:t>
            </w:r>
          </w:p>
        </w:tc>
        <w:tc>
          <w:tcPr>
            <w:tcW w:type="dxa" w:w="9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Project preparation duration (exogenous component via SFM)</w:t>
            </w:r>
          </w:p>
        </w:tc>
        <w:tc>
          <w:tcPr>
            <w:tcW w:type="dxa" w:w="7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Stochastic Frontier Model (stage 1) + Conditional Logit panel with country/government FE (stage 2)</w:t>
            </w:r>
          </w:p>
        </w:tc>
        <w:tc>
          <w:tcPr>
            <w:tcW w:type="dxa" w:w="9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World Bank project database; UN voting data; bilateral aid/trade; 1985–2010</w:t>
            </w:r>
          </w:p>
        </w:tc>
        <w:tc>
          <w:tcPr>
            <w:tcW w:type="dxa" w:w="5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4,147</w:t>
            </w:r>
          </w:p>
        </w:tc>
        <w:tc>
          <w:tcPr>
            <w:tcW w:type="dxa" w:w="1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Projects with longer exogenous preparation periods are significantly more likely to receive satisfactory ratings (z=2.31, p=0.021 in preferred spec); effect strongest in countries with high debt vulnerability; prep duration 1 SD above mean → 77.8% predicted success vs. 70.1% for 1 SD below</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Preparation duration is a proxy for design quality, not the constructed QE score; no odds ratio reported; no cross-institution test; effect conflates preparation effort with pre-existing project/country quality</w:t>
            </w:r>
          </w:p>
        </w:tc>
        <w:tc>
          <w:tcPr>
            <w:tcW w:type="dxa" w:w="5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Yes</w:t>
            </w:r>
          </w:p>
        </w:tc>
        <w:tc>
          <w:tcPr>
            <w:tcW w:type="dxa" w:w="44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Yes</w:t>
            </w:r>
          </w:p>
        </w:tc>
        <w:tc>
          <w:tcPr>
            <w:tcW w:type="dxa" w:w="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DKK = Denizer/Kaufmann/Kraay (2011); DKVW = Dreher/Klasen/Vreeland/Werker (forthcoming). Strong IV design; closest upstream paper to QE→outcome causal chain</w:t>
            </w:r>
          </w:p>
        </w:tc>
      </w:tr>
      <w:tr>
        <w:tc>
          <w:tcPr>
            <w:tcW w:type="dxa" w:w="58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P02</w:t>
            </w:r>
          </w:p>
        </w:tc>
        <w:tc>
          <w:tcPr>
            <w:tcW w:type="dxa" w:w="7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Smets, L.; Knack, S.; Molenaers, N.</w:t>
            </w:r>
          </w:p>
        </w:tc>
        <w:tc>
          <w:tcPr>
            <w:tcW w:type="dxa" w:w="42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2012</w:t>
            </w:r>
          </w:p>
        </w:tc>
        <w:tc>
          <w:tcPr>
            <w:tcW w:type="dxa" w:w="150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Political Ideology, Quality at Entry and the Success of Economic Reform Programs</w:t>
            </w:r>
          </w:p>
        </w:tc>
        <w:tc>
          <w:tcPr>
            <w:tcW w:type="dxa" w:w="84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World Bank Policy Research Working Paper 6130</w:t>
            </w:r>
          </w:p>
        </w:tc>
        <w:tc>
          <w:tcPr>
            <w:tcW w:type="dxa" w:w="7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MDB Econometrics</w:t>
            </w:r>
          </w:p>
        </w:tc>
        <w:tc>
          <w:tcPr>
            <w:tcW w:type="dxa" w:w="120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Does government ideology affect QE of WB policy loans, and does QE predict program outcome?</w:t>
            </w:r>
          </w:p>
        </w:tc>
        <w:tc>
          <w:tcPr>
            <w:tcW w:type="dxa" w:w="98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Overall program outcome rating (IEG, 1–6 ordinal; also binary); also QE rating as outcome in stage 1</w:t>
            </w:r>
          </w:p>
        </w:tc>
        <w:tc>
          <w:tcPr>
            <w:tcW w:type="dxa" w:w="98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Government left-wing party orientation → QE (stage 1); QE → outcome (recursive triangular, stage 3)</w:t>
            </w:r>
          </w:p>
        </w:tc>
        <w:tc>
          <w:tcPr>
            <w:tcW w:type="dxa" w:w="72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Heckman selection model (stage 1: probit selection + OLS outcome); Recursive triangular MLE system of 3 equations (stages 2–4); country-clustered SEs</w:t>
            </w:r>
          </w:p>
        </w:tc>
        <w:tc>
          <w:tcPr>
            <w:tcW w:type="dxa" w:w="98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World Bank DPL database; IEG ratings; DPI ideology data; UNGA voting; 1985–2007</w:t>
            </w:r>
          </w:p>
        </w:tc>
        <w:tc>
          <w:tcPr>
            <w:tcW w:type="dxa" w:w="54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161</w:t>
            </w:r>
          </w:p>
        </w:tc>
        <w:tc>
          <w:tcPr>
            <w:tcW w:type="dxa" w:w="160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Left-wing governments receive QE ratings 0.42 points higher on 1–6 scale (significant); QE→outcome β=0.351–0.574 (significant, p&lt;0.01 across all triangular system specifications); marginal effect: 18% higher probability of well-designed loan under left-wing government; supervision and QE both matter; design more productive than supervision</w:t>
            </w:r>
          </w:p>
        </w:tc>
        <w:tc>
          <w:tcPr>
            <w:tcW w:type="dxa" w:w="140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QE is a mediator/intermediate outcome, not the primary causal X in the outcome equation; DPLs only — excludes investment projects (~85% of WB portfolio); n=161; no odds ratio reported; rater not fully independent (WB staff rate QE and supervise); no cross-institution replication</w:t>
            </w:r>
          </w:p>
        </w:tc>
        <w:tc>
          <w:tcPr>
            <w:tcW w:type="dxa" w:w="54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Yes</w:t>
            </w:r>
          </w:p>
        </w:tc>
        <w:tc>
          <w:tcPr>
            <w:tcW w:type="dxa" w:w="44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Yes</w:t>
            </w:r>
          </w:p>
        </w:tc>
        <w:tc>
          <w:tcPr>
            <w:tcW w:type="dxa" w:w="9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Only study to directly model QE→outcome pathway using the constructed IEG QE rating. Definitional source (Table 12) for QE construct. Identifies rater independence as acknowledged but unresolved limitation</w:t>
            </w:r>
          </w:p>
        </w:tc>
      </w:tr>
      <w:tr>
        <w:tc>
          <w:tcPr>
            <w:tcW w:type="dxa" w:w="58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P03</w:t>
            </w:r>
          </w:p>
        </w:tc>
        <w:tc>
          <w:tcPr>
            <w:tcW w:type="dxa" w:w="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Boakye, L.G.; Liu, L.</w:t>
            </w:r>
          </w:p>
        </w:tc>
        <w:tc>
          <w:tcPr>
            <w:tcW w:type="dxa" w:w="4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2017</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Doing Good by Doing Bad: Reasons Underlying the Failure of International Development Projects</w:t>
            </w:r>
          </w:p>
        </w:tc>
        <w:tc>
          <w:tcPr>
            <w:tcW w:type="dxa" w:w="8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IRNOP Conference Paper (2017, Boston)</w:t>
            </w:r>
          </w:p>
        </w:tc>
        <w:tc>
          <w:tcPr>
            <w:tcW w:type="dxa" w:w="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MDB Econometrics</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What underlying reasons explain IDP failure across AfDB-funded projects in Ghana and Mali?</w:t>
            </w:r>
          </w:p>
        </w:tc>
        <w:tc>
          <w:tcPr>
            <w:tcW w:type="dxa" w:w="9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Project failure (categorical/binary)</w:t>
            </w:r>
          </w:p>
        </w:tc>
        <w:tc>
          <w:tcPr>
            <w:tcW w:type="dxa" w:w="9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Poor Quality-at-Entry (QAE) — emergent factor via PCA</w:t>
            </w:r>
          </w:p>
        </w:tc>
        <w:tc>
          <w:tcPr>
            <w:tcW w:type="dxa" w:w="7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Exploratory Factor Analysis (Principal Components, Varimax rotation); 5 components extracted</w:t>
            </w:r>
          </w:p>
        </w:tc>
        <w:tc>
          <w:tcPr>
            <w:tcW w:type="dxa" w:w="9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53 defunct AfDB-funded projects in Ghana and Mali (project reports, interviews)</w:t>
            </w:r>
          </w:p>
        </w:tc>
        <w:tc>
          <w:tcPr>
            <w:tcW w:type="dxa" w:w="5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53</w:t>
            </w:r>
          </w:p>
        </w:tc>
        <w:tc>
          <w:tcPr>
            <w:tcW w:type="dxa" w:w="1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QAE loads as Component 1 with highest factor loadings (deficient designs: .953, poor QAE: .947, planning inadequacy: .833); cites WB OED (Morra &amp; Thumm 1997): 80% of adequate-QAE projects (n=1,125) succeeded vs. 35% inadequate-QAE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n=53; single institution (AfDB); conference paper, not peer-reviewed; no regression with controls; no odds ratio; qualitative/descriptive methodology; cannot test causal direction</w:t>
            </w:r>
          </w:p>
        </w:tc>
        <w:tc>
          <w:tcPr>
            <w:tcW w:type="dxa" w:w="5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Partial</w:t>
            </w:r>
          </w:p>
        </w:tc>
        <w:tc>
          <w:tcPr>
            <w:tcW w:type="dxa" w:w="4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No</w:t>
            </w:r>
          </w:p>
        </w:tc>
        <w:tc>
          <w:tcPr>
            <w:tcW w:type="dxa" w:w="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EXCLUDE from Deep Read. Key value: (a) cross-institution AfDB reference; (b) cites Morra &amp; Thumm (1997) WB OED finding (n=1,125, 80% vs. 35%) — the most direct precursor to Brandon OR=27.8; (c) QAE construct definition</w:t>
            </w:r>
          </w:p>
        </w:tc>
      </w:tr>
      <w:tr>
        <w:tc>
          <w:tcPr>
            <w:tcW w:type="dxa" w:w="58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P04</w:t>
            </w:r>
          </w:p>
        </w:tc>
        <w:tc>
          <w:tcPr>
            <w:tcW w:type="dxa" w:w="7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Lee, B.</w:t>
            </w:r>
          </w:p>
        </w:tc>
        <w:tc>
          <w:tcPr>
            <w:tcW w:type="dxa" w:w="42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2016</w:t>
            </w:r>
          </w:p>
        </w:tc>
        <w:tc>
          <w:tcPr>
            <w:tcW w:type="dxa" w:w="150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What makes a good project? Success factors of the World Bank education development projects</w:t>
            </w:r>
          </w:p>
        </w:tc>
        <w:tc>
          <w:tcPr>
            <w:tcW w:type="dxa" w:w="84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PhD Dissertation, Vanderbilt University</w:t>
            </w:r>
          </w:p>
        </w:tc>
        <w:tc>
          <w:tcPr>
            <w:tcW w:type="dxa" w:w="7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MDB Econometrics</w:t>
            </w:r>
          </w:p>
        </w:tc>
        <w:tc>
          <w:tcPr>
            <w:tcW w:type="dxa" w:w="120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What project and country factors explain variation in World Bank education project performance (1986–2011)?</w:t>
            </w:r>
          </w:p>
        </w:tc>
        <w:tc>
          <w:tcPr>
            <w:tcW w:type="dxa" w:w="98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IEG outcome rating (binary satisfactory/unsatisfactory; also ordinal 1–6)</w:t>
            </w:r>
          </w:p>
        </w:tc>
        <w:tc>
          <w:tcPr>
            <w:tcW w:type="dxa" w:w="98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Multiple: project duration, subsector, government effectiveness, loan type, region, education spending</w:t>
            </w:r>
          </w:p>
        </w:tc>
        <w:tc>
          <w:tcPr>
            <w:tcW w:type="dxa" w:w="72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OLS; Logit; Ordered Logit; Logit with country fixed effects; mixed methods (quantitative + interview/NVivo qualitative)</w:t>
            </w:r>
          </w:p>
        </w:tc>
        <w:tc>
          <w:tcPr>
            <w:tcW w:type="dxa" w:w="98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World Bank IEG education project database; WDI; WGI; 1986–2011</w:t>
            </w:r>
          </w:p>
        </w:tc>
        <w:tc>
          <w:tcPr>
            <w:tcW w:type="dxa" w:w="54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~1,000+ (education sector)</w:t>
            </w:r>
          </w:p>
        </w:tc>
        <w:tc>
          <w:tcPr>
            <w:tcW w:type="dxa" w:w="160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Government effectiveness, project duration, and subsector significantly predict outcomes; reports logistic regression with odds ratios (Table 10); country FE specifications (Table 12); first systematic quantitative study of WB education project success factors</w:t>
            </w:r>
          </w:p>
        </w:tc>
        <w:tc>
          <w:tcPr>
            <w:tcW w:type="dxa" w:w="140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Does not include QE rating as predictor; education sector only (~10% of WB portfolio); no causal identification strategy for endogeneity of project characteristics; QE absent from variable set despite availability</w:t>
            </w:r>
          </w:p>
        </w:tc>
        <w:tc>
          <w:tcPr>
            <w:tcW w:type="dxa" w:w="54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Yes</w:t>
            </w:r>
          </w:p>
        </w:tc>
        <w:tc>
          <w:tcPr>
            <w:tcW w:type="dxa" w:w="44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No</w:t>
            </w:r>
          </w:p>
        </w:tc>
        <w:tc>
          <w:tcPr>
            <w:tcW w:type="dxa" w:w="9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INCLUDE for methodology benchmarking and gap identification. Demonstrates logit-with-OR framework on WB IEG data. Key gap: QE not included as predictor — directly motivates Brandon's model</w:t>
            </w:r>
          </w:p>
        </w:tc>
      </w:tr>
      <w:tr>
        <w:tc>
          <w:tcPr>
            <w:tcW w:type="dxa" w:w="58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P05</w:t>
            </w:r>
          </w:p>
        </w:tc>
        <w:tc>
          <w:tcPr>
            <w:tcW w:type="dxa" w:w="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Dathan, A.</w:t>
            </w:r>
          </w:p>
        </w:tc>
        <w:tc>
          <w:tcPr>
            <w:tcW w:type="dxa" w:w="4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2018</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Do Project Evaluations Correlate with the Performance of Programs Over Time? An Analysis of World Bank Health and Education Projects, 2000–2010</w:t>
            </w:r>
          </w:p>
        </w:tc>
        <w:tc>
          <w:tcPr>
            <w:tcW w:type="dxa" w:w="8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Master's Thesis, Georgetown University</w:t>
            </w:r>
          </w:p>
        </w:tc>
        <w:tc>
          <w:tcPr>
            <w:tcW w:type="dxa" w:w="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MDB Econometrics</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Does past project performance (5-year average of related projects) predict future project outcomes at the World Bank?</w:t>
            </w:r>
          </w:p>
        </w:tc>
        <w:tc>
          <w:tcPr>
            <w:tcW w:type="dxa" w:w="9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IEG outcome rating (continuous/ordinal)</w:t>
            </w:r>
          </w:p>
        </w:tc>
        <w:tc>
          <w:tcPr>
            <w:tcW w:type="dxa" w:w="9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5-year average IEG rating of closely-related prior projects (same sector/sub-sector)</w:t>
            </w:r>
          </w:p>
        </w:tc>
        <w:tc>
          <w:tcPr>
            <w:tcW w:type="dxa" w:w="7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OLS with project- and country-level controls</w:t>
            </w:r>
          </w:p>
        </w:tc>
        <w:tc>
          <w:tcPr>
            <w:tcW w:type="dxa" w:w="9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World Bank health and education projects, IEG database, 2000–2010</w:t>
            </w:r>
          </w:p>
        </w:tc>
        <w:tc>
          <w:tcPr>
            <w:tcW w:type="dxa" w:w="5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445</w:t>
            </w:r>
          </w:p>
        </w:tc>
        <w:tc>
          <w:tcPr>
            <w:tcW w:type="dxa" w:w="1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Past performance NOT significantly associated with future project outcomes (β=0.0665, p=0.845); significant predictors: project approval year, supervision/quality control characteristics, primary school enrollment rates, country-specific factors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Does not test QE as predictor; tests institutional learning, not design quality; health/education sectors only; master's thesis; supervision significant but QE absent from model; learning-from-evaluation mechanism ≠ design quality mechanism</w:t>
            </w:r>
          </w:p>
        </w:tc>
        <w:tc>
          <w:tcPr>
            <w:tcW w:type="dxa" w:w="5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Partial</w:t>
            </w:r>
          </w:p>
        </w:tc>
        <w:tc>
          <w:tcPr>
            <w:tcW w:type="dxa" w:w="4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No</w:t>
            </w:r>
          </w:p>
        </w:tc>
        <w:tc>
          <w:tcPr>
            <w:tcW w:type="dxa" w:w="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Key negative finding: sector-level learning from past ratings doesn't improve outcomes — implies within-project design quality (QE) matters more than aggregate experience. Supervision/quality-control variables significant → directly motivates QE inclusion</w:t>
            </w:r>
          </w:p>
        </w:tc>
      </w:tr>
      <w:tr>
        <w:tc>
          <w:tcPr>
            <w:tcW w:type="dxa" w:w="58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P06</w:t>
            </w:r>
          </w:p>
        </w:tc>
        <w:tc>
          <w:tcPr>
            <w:tcW w:type="dxa" w:w="76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Dutta, N.; Williamson, C.R. (eds.)</w:t>
            </w:r>
          </w:p>
        </w:tc>
        <w:tc>
          <w:tcPr>
            <w:tcW w:type="dxa" w:w="42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2019</w:t>
            </w:r>
          </w:p>
        </w:tc>
        <w:tc>
          <w:tcPr>
            <w:tcW w:type="dxa" w:w="150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Lessons on Foreign Aid and Economic Development: Micro and Macro Perspectives</w:t>
            </w:r>
          </w:p>
        </w:tc>
        <w:tc>
          <w:tcPr>
            <w:tcW w:type="dxa" w:w="84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Palgrave Macmillan (Edited Book)</w:t>
            </w:r>
          </w:p>
        </w:tc>
        <w:tc>
          <w:tcPr>
            <w:tcW w:type="dxa" w:w="76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Aid Effectiveness (macro)</w:t>
            </w:r>
          </w:p>
        </w:tc>
        <w:tc>
          <w:tcPr>
            <w:tcW w:type="dxa" w:w="120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N/A — edited volume surveying aid effectiveness across macro and micro perspectives</w:t>
            </w:r>
          </w:p>
        </w:tc>
        <w:tc>
          <w:tcPr>
            <w:tcW w:type="dxa" w:w="98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Various (macro: growth, institutions, political rights; micro: project performance, private aid, remittances)</w:t>
            </w:r>
          </w:p>
        </w:tc>
        <w:tc>
          <w:tcPr>
            <w:tcW w:type="dxa" w:w="98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Various (aid type, conditionality, ideology, NGOs, FDI, remittances)</w:t>
            </w:r>
          </w:p>
        </w:tc>
        <w:tc>
          <w:tcPr>
            <w:tcW w:type="dxa" w:w="72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Survey/meta (multiple methods across 12 chapters)</w:t>
            </w:r>
          </w:p>
        </w:tc>
        <w:tc>
          <w:tcPr>
            <w:tcW w:type="dxa" w:w="98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Multiple country-level datasets</w:t>
            </w:r>
          </w:p>
        </w:tc>
        <w:tc>
          <w:tcPr>
            <w:tcW w:type="dxa" w:w="54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Country-level (no project-level data)</w:t>
            </w:r>
          </w:p>
        </w:tc>
        <w:tc>
          <w:tcPr>
            <w:tcW w:type="dxa" w:w="160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Covers aid conditionality, donor behaviour, political motives, private aid, institutional quality, FDI, remittances</w:t>
            </w:r>
          </w:p>
        </w:tc>
        <w:tc>
          <w:tcPr>
            <w:tcW w:type="dxa" w:w="140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No project-level data; no QE variable; macro-only framework; no regression using WB project ratings</w:t>
            </w:r>
          </w:p>
        </w:tc>
        <w:tc>
          <w:tcPr>
            <w:tcW w:type="dxa" w:w="54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No</w:t>
            </w:r>
          </w:p>
        </w:tc>
        <w:tc>
          <w:tcPr>
            <w:tcW w:type="dxa" w:w="44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No</w:t>
            </w:r>
          </w:p>
        </w:tc>
        <w:tc>
          <w:tcPr>
            <w:tcW w:type="dxa" w:w="96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 EXCLUDED ** — macro-level edited volume; no project-level regression; no QE variable</w:t>
            </w:r>
          </w:p>
        </w:tc>
      </w:tr>
    </w:tbl>
    <w:p>
      <w:pPr>
        <w:sectPr>
          <w:pgSz w:w="15840" w:h="12240" w:orient="landscape"/>
          <w:pgMar w:top="720" w:right="720" w:bottom="720" w:left="720" w:header="708" w:footer="708" w:gutter="0"/>
          <w:pgNumType/>
          <w:docGrid w:linePitch="360"/>
        </w:sectPr>
      </w:pPr>
    </w:p>
    <w:p>
      <w:pPr>
        <w:spacing w:before="0" w:after="160"/>
      </w:pPr>
      <w:r>
        <w:rPr>
          <w:rFonts w:ascii="Arial" w:cs="Arial" w:eastAsia="Arial" w:hAnsi="Arial"/>
          <w:b/>
          <w:bCs/>
          <w:color w:val="1F3864"/>
          <w:sz w:val="36"/>
          <w:szCs w:val="36"/>
        </w:rPr>
        <w:t xml:space="preserve">TAB B — DEEP READ RECORDS</w:t>
      </w:r>
    </w:p>
    <w:p>
      <w:pPr>
        <w:spacing w:before="0" w:after="240"/>
      </w:pPr>
      <w:r>
        <w:rPr>
          <w:rFonts w:ascii="Arial" w:cs="Arial" w:eastAsia="Arial" w:hAnsi="Arial"/>
          <w:i/>
          <w:iCs/>
          <w:color w:val="404040"/>
          <w:sz w:val="18"/>
          <w:szCs w:val="18"/>
        </w:rPr>
        <w:t xml:space="preserve">Deep Read papers: P01 (Kilby 2012) and P02 (Smets, Knack &amp; Molenaers 2012) — the two papers that most directly justify the Brandon QE→outcome model specification, identification strategy, and claimed advance.</w:t>
      </w:r>
    </w:p>
    <w:p>
      <w:pPr>
        <w:pBdr>
          <w:bottom w:val="single" w:color="2E5FA3" w:sz="6"/>
        </w:pBdr>
        <w:spacing w:before="120" w:after="120"/>
      </w:pPr>
    </w:p>
    <w:p>
      <w:pPr>
        <w:spacing w:before="240" w:after="120"/>
      </w:pPr>
      <w:r>
        <w:rPr>
          <w:rFonts w:ascii="Arial" w:cs="Arial" w:eastAsia="Arial" w:hAnsi="Arial"/>
          <w:b/>
          <w:bCs/>
          <w:color w:val="2E5FA3"/>
          <w:sz w:val="28"/>
          <w:szCs w:val="28"/>
        </w:rPr>
        <w:t xml:space="preserve">TAB B: P01 — Kilby (2012)</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7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8"/>
                <w:szCs w:val="18"/>
              </w:rPr>
              <w:t xml:space="preserve">TAB B — P01</w:t>
            </w:r>
          </w:p>
        </w:tc>
        <w:tc>
          <w:tcPr>
            <w:tcW w:type="dxa" w:w="75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8"/>
                <w:szCs w:val="18"/>
              </w:rPr>
              <w:t xml:space="preserve">Kilby, C. (2012) — Impact of World Bank Preparation on Project Outcomes</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Paper_ID</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P01</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Authors_Year</w:t>
            </w:r>
          </w:p>
        </w:tc>
        <w:tc>
          <w:tcPr>
            <w:tcW w:type="dxa" w:w="75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Kilby, Christopher (2012). 'Assessing the contribution of donor agencies to aid effectiveness: The impact of World Bank preparation on project outcomes.' Working Paper, Villanova University.</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Model_Specification</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STAGE 1 — Stochastic Frontier Model (SFM): Approval Date (days elapsed since start of approval year) as dependent variable; Project ID enters linearly; country, project and political economy variables enter conditional variance of exponential efficiency term. SFM separates observed variation in preparation from 'inefficiency' driven by political factors.
STAGE 2 — Conditional Logit (preferred) with country fixed effects and year dummies; also specifications: pooled logit, logit with region dummies, logit with government fixed effects. Dependent variable = IEG outcome rating (binary: satisfactory/not satisfactory). Key regressor = SFM-predicted preparation duration (exogenous component). Controls: project size, population, GDP per capita, GDP growth.</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Identification_Strategy</w:t>
            </w:r>
          </w:p>
        </w:tc>
        <w:tc>
          <w:tcPr>
            <w:tcW w:type="dxa" w:w="75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Two-stage IV-style approach. Stage 1 uses geopolitical variables as instruments for preparation duration: (a) US UNGA important-vote alignment, (b) UNSC non-permanent membership (−175 days preparation), (c) World Bank Executive Director membership (−157 days preparation), (d) US military and economic aid, (e) G7 voting alignment and aid, (f) trade flows. Predicted preparation from SFM is purged of political favoritism (which accelerates preparation, potentially at the cost of quality). Bootstrapped SEs confirm significance. Government FE added to capture within-country political-orientation changes not absorbed by country FE.</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Control_Variables</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Project level: project size (log cost in 2005 USD), IDA dummy, SAL/development policy loan dummy.
Country level: population (log), GDP per capita (log, PPP 2000 USD), GDP growth, war dummy, democracy (Cheibub et al. 2010), Freedom House index.
Political economy: US important-vote and other-vote UNGA alignment, G7-1 voting alignment, US military aid (binary &gt;$500k), US economic aid (log), G7-1 economic aid (log), like-minded donor aid (Denmark, Netherlands, Norway, Sweden), US trade (log), G7-1 trade (log), world trade.
Temporal: Year dummies in all outcome equations; detrended variables for time-trending covariates.</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Fixed_Effects</w:t>
            </w:r>
          </w:p>
        </w:tc>
        <w:tc>
          <w:tcPr>
            <w:tcW w:type="dxa" w:w="75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Country fixed effects (conditional logit, specification 5); government fixed effects (specification 6 — separate FE for each government differing from predecessor by &gt;3 Polity points); year dummies in all outcome specifications.</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Standard_Errors</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Conventional z-statistics reported; bootstrapped SEs computed as robustness check — key coefficient z-stat decreases only slightly (2.31 → 2.17, p=0.021 → 0.030).</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Main_Coefficient</w:t>
            </w:r>
          </w:p>
        </w:tc>
        <w:tc>
          <w:tcPr>
            <w:tcW w:type="dxa" w:w="75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Preparation enters positive and significant across all 6 specifications of Table 4.
Preferred spec (Col 6, govt FE + year dummies): z = 2.31, p = 0.021.
Magnitude: probability derivative = 0.043 for typical project at sample mean.
- 1 SD below mean preparation → 70.1% predicted success
- 1 SD above mean preparation → 77.8% predicted success
- Minimum preparation (0.7 years) → 67.4% success; maximum (7.5 years) → 90.5% success
Effect is conditional: stronger in high-debt-vulnerability countries (consistent with DKVW economic vulnerability hypothesis).</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Robustness_Tests</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6 primary specifications (Table 4): pooled logit → region FE → country FE → China dummy → country FE → government FE. Tables 5 and 6: audit rating type, evaluation lag, IDA dummy, SAL dummy, sectoral breakdown, interaction terms for debt/short-term debt (economic vulnerability). Detrended variables; alternative lag structures (1–3 years); averaging vs. lagging political economy variables. Results stable across all.</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Bias_Acknowledged</w:t>
            </w:r>
          </w:p>
        </w:tc>
        <w:tc>
          <w:tcPr>
            <w:tcW w:type="dxa" w:w="75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Fungibility critique: project-level assessment gives upper bound. Endogeneity of preparation (political favorites get rushed delivery). Selection into audit (audits target higher-performing projects, but controlled). Evaluation lag bias (longer lag → worse outcomes, controlled in Table 5).</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Bias_NOT_Addressed</w:t>
            </w:r>
          </w:p>
        </w:tc>
        <w:tc>
          <w:tcPr>
            <w:tcW w:type="dxa" w:w="756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Preparation duration ≠ QE score: the paper proxies design quality through time, not through the constructed IEG QE rating — the precise construct Steve Brandon measures.
Rater conflation: IEG rates outcomes but Bank task teams who prepare also influence interim performance flags; no structural separation tested.
No cross-institution replication (World Bank only).
No odds ratio reported — cannot directly compare to OR=27.8.</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Data_Source_Detail</w:t>
            </w:r>
          </w:p>
        </w:tc>
        <w:tc>
          <w:tcPr>
            <w:tcW w:type="dxa" w:w="75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World Bank project database (project ID, approval dates, cost, loan type, closing dates).
IEG ratings database (IEG-WB-Project-Ratings.xlsx, 2011c): ICR, PAR, and Evaluation Summary ratings.
UN voting data (U.S. State Department important-vote list; UNGA roll-call votes).
Bilateral aid data: OECD DAC International Development Statistics CD-ROM (2006–2009).
IMF Direction of Trade CD-ROM (2009).
Penn World Tables 6.1/6.2 (Heston, Summers, Aten).
Freedom House (2009); Cheibub et al. (2010) Democracy indicator.
Armed conflict data: Uppsala/PRIO dataset (Gleditsch et al. 2002).</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Sample_Restrictions</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Approval dates: 1985–2008 (limited by UN important-vote availability back to 1983 + 3-year lag; ratings availability forward to 2011).
Evaluation years: 1989–2011.
Estimation sample: 4,147 projects (missing country characteristics reduce full population).
116 countries. Excludes supplemental loans and projects without closing dates or IEG ratings.</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Cross_Institution</w:t>
            </w:r>
          </w:p>
        </w:tc>
        <w:tc>
          <w:tcPr>
            <w:tcW w:type="dxa" w:w="75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No. World Bank only. No AfDB, ADB, or bilateral comparator.</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Heterogeneity_Tests</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By economic vulnerability (debt/GNI, % short-term debt — Table 6; consistent with DKVW hypothesis).
By loan type: IDA vs. non-IDA; SAL vs. investment.
By sector: transport (positive), energy/mining (negative vs. agriculture baseline).
By audit type and evaluation lag (Table 5).</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Your_Advance</w:t>
            </w:r>
          </w:p>
        </w:tc>
        <w:tc>
          <w:tcPr>
            <w:tcW w:type="dxa" w:w="756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Brandon (this study) advances on Kilby (2012) in four ways:
1. CONSTRUCT PRECISION: Uses the IEG's constructed Quality at Entry (QE) score — the actual rated dimension, not preparation duration as proxy.
2. SCALE: n=12,328 vs. 4,147 — 3× larger; covers all loan types across full portfolio.
3. EFFECT SIZE: Reports OR=27.8 — the first odds ratio in the literature for design quality → outcome.
4. RATER SEPARATION: Exploits structural independence of IEG from Bank operational staff as identification advantage, addressing the rater-conflation bias Kilby's SFM approach was designed to circumvent but cannot fully resolve.</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Quote_For_Paper</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'Projects with longer preparation periods are significantly more likely to have satisfactory outcome ratings. This result is robust across a range of specifications but the effects are conditional on the degree of economic vulnerability. The impact of World Bank preparation is greater in countries experiencing debt problems.' (Kilby 2012, Abstract)</w:t>
            </w:r>
          </w:p>
        </w:tc>
      </w:tr>
    </w:tbl>
    <w:p>
      <w:pPr>
        <w:spacing w:before="80" w:after="80"/>
      </w:pPr>
      <w:r>
        <w:t xml:space="preserve"/>
      </w:r>
    </w:p>
    <w:p>
      <w:r>
        <w:br w:type="page"/>
      </w:r>
    </w:p>
    <w:p>
      <w:pPr>
        <w:spacing w:before="0" w:after="120"/>
      </w:pPr>
      <w:r>
        <w:rPr>
          <w:rFonts w:ascii="Arial" w:cs="Arial" w:eastAsia="Arial" w:hAnsi="Arial"/>
          <w:b/>
          <w:bCs/>
          <w:color w:val="2E5FA3"/>
          <w:sz w:val="28"/>
          <w:szCs w:val="28"/>
        </w:rPr>
        <w:t xml:space="preserve">TAB B: P02 — Smets, Knack &amp; Molenaers (2012)</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7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8"/>
                <w:szCs w:val="18"/>
              </w:rPr>
              <w:t xml:space="preserve">TAB B — P02</w:t>
            </w:r>
          </w:p>
        </w:tc>
        <w:tc>
          <w:tcPr>
            <w:tcW w:type="dxa" w:w="75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FFFFFF"/>
                <w:sz w:val="18"/>
                <w:szCs w:val="18"/>
              </w:rPr>
              <w:t xml:space="preserve">Smets, L.; Knack, S.; Molenaers, N. (2012) — Political Ideology, Quality at Entry and Economic Reform</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Paper_ID</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P02</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Authors_Year</w:t>
            </w:r>
          </w:p>
        </w:tc>
        <w:tc>
          <w:tcPr>
            <w:tcW w:type="dxa" w:w="75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Smets, L.; Knack, S.; Molenaers, N. (2012). 'Political Ideology, Quality at Entry and the Success of Economic Reform Programs.' World Bank Policy Research Working Paper 6130.</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Model_Specification</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STAGE 1 — Heckman selection model: Probit selection equation (probability of receiving a DPL); excluded instrument = distance from country capital to Washington DC (negative, significant). Outcome equation = OLS regressing QE rating (1–6) on left-wing ideology dummy, controls, and estimated non-selection hazard (Heckman correction).
STAGE 2 — Recursive triangular system (MLE) with 3 equations:
  y1 = Quality at Entry (QE)
  y2 = Quality of Bank Supervision (f(QE, x))
  y3 = Overall Outcome (f(QE, y2=compliance, x))
Diagonal variance-covariance matrix assumed (LR test: χ²=2.87, p=0.41, supports recursive structure). Country-clustered standard errors throughout.</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Identification_Strategy</w:t>
            </w:r>
          </w:p>
        </w:tc>
        <w:tc>
          <w:tcPr>
            <w:tcW w:type="dxa" w:w="75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Heckman two-stage selection correction: excluded instrument = geographic distance capital to Washington DC, associated with significantly lower probability of DPL selection (plausibly exogenous to project design quality).
Triangular recursive system: endogenous ordering y1→y2→y3 justified by WB's sequential lending process (design before supervision before outcome). Malesa &amp; Silarszky (2005) cited to argue supervision resources are pre-budgeted and exogenous to compliance. LR test confirms uncorrelated errors across equations.</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Control_Variables</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Selection equation: G7 UNGA voting alignment, outstanding WB debt, inflation rate, CPIA score, log GDP per capita, log population, incumbent tenure, log loan amount, time trend, regional dummies, distance to DC (excluded instrument).
Outcome/QE equation: same controls minus excluded instrument; robustness adds current account balance, ethnic fractionalization, growth rate post-agreement, stage-of-reform variable, CPIA score at program start.</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Fixed_Effects</w:t>
            </w:r>
          </w:p>
        </w:tc>
        <w:tc>
          <w:tcPr>
            <w:tcW w:type="dxa" w:w="75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No country fixed effects (sample too small: n=161). Regional dummies. Country-clustered standard errors.</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Standard_Errors</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Country-clustered standard errors throughout all equations.</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Main_Coefficient</w:t>
            </w:r>
          </w:p>
        </w:tc>
        <w:tc>
          <w:tcPr>
            <w:tcW w:type="dxa" w:w="75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QE rating equation: Left-wing ideology β=+0.42 (on 1–6 scale, significant); marginal effect (probit): 18% higher probability of well-designed loan for left-wing governments.
Triangular system — QE→outcome coefficients (Table 3–9, across all specifications):
  Standard model: β=0.351*** (SE=0.098)
  3-point ideology var: β=0.512*** (SE=0.096)
  Alternative spec: β=0.333–0.574 (all p&lt;0.01)
Higher QE also positively associated with supervision quality and borrower compliance (equation 2). Effect of QE on outcome exceeds effect of supervision on outcome — design more productive than implementation oversight.</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Robustness_Tests</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Ideology variable: binary left dummy; 3-point DPI categorical; continuous Bjornskov (2005) index (1 SD decrease → higher QE).
Sample: core 161 observations; expanded to 215 (all policy areas); restricted to 115 (pure economic policy loans).
Estimation: OLS, probit, MLE triangular system.
Additional controls: current account, inflation, ethnic fractionalization, CPIA, stage-of-reform.
Binary vs. ordinal outcome variables (Table 8 binary LHS).
Results stable across all variations.</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Bias_Acknowledged</w:t>
            </w:r>
          </w:p>
        </w:tc>
        <w:tc>
          <w:tcPr>
            <w:tcW w:type="dxa" w:w="75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Selection bias: addressed via Heckman correction (distance IV).
Potential endogeneity of supervision (argued exogenous via Malesa &amp; Silarszky 2005 budget pre-commitment).
Measurement error in ideology coding (DPI cross-checked).
Data limitations prevent controlling for task leader quality (acknowledged, see footnote on task leader FE — sample too small).</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Bias_NOT_Addressed</w:t>
            </w:r>
          </w:p>
        </w:tc>
        <w:tc>
          <w:tcPr>
            <w:tcW w:type="dxa" w:w="756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RATER CONFLATION: QE is rated by WB operational staff — the same staff who prepare and supervise loans. This is the same institution that benefits from high QE ratings. IEG independence from management applies to outcome ratings but not to QE ratings in this period.
DPLs ONLY: excludes investment lending (~85% of WB portfolio). Results may not generalise.
SMALL N: n=161 — severely underpowered for detecting heterogeneous effects.
NO ODDS RATIO: β coefficients on 1–6 scale; no OR reported for binary outcome of QE→success.
NO CROSS-INSTITUTION: World Bank DPLs only.</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Data_Source_Detail</w:t>
            </w:r>
          </w:p>
        </w:tc>
        <w:tc>
          <w:tcPr>
            <w:tcW w:type="dxa" w:w="75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IEG ratings for World Bank DPLs: QE rating (1–6 Highly Unsatisfactory to Highly Satisfactory; see Table 13 Appendix for full definition); supervision quality; borrower compliance; overall outcome. Data period: 1985–2007 (extended to 2008 in some specs).
Database of Political Institutions (DPI): Beck et al. (2001) — Left/Center/Right/Other coding of executive party, cross-checked across sources.
Bjornskov (2005) ideology index (continuous).
UNGA voting data; IMF quota-weighted G7 voting variable (Dreher &amp; Sturm 2012 method).
Gleditsch (2011) capital-city distance data.
World Bank debt and CPIA data; IMF macroeconomic indicators.</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Sample_Restrictions</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World Bank Development Policy Loans (DPLs) only: 1985–2007.
Core sample: 161 observations.
Expanded robustness sample: 215 (includes other policy-area loans).
Restricted robustness sample: 115 (pure economic policy loans).
Excludes investment lending entirely.</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Cross_Institution</w:t>
            </w:r>
          </w:p>
        </w:tc>
        <w:tc>
          <w:tcPr>
            <w:tcW w:type="dxa" w:w="7560"/>
            <w:tcBorders>
              <w:top w:val="single" w:color="BFBFBF" w:sz="1"/>
              <w:left w:val="single" w:color="BFBFBF" w:sz="1"/>
              <w:bottom w:val="single" w:color="BFBFBF" w:sz="1"/>
              <w:right w:val="single" w:color="BFBFBF" w:sz="1"/>
            </w:tcBorders>
            <w:shd w:fill="F2F5FB"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No. World Bank DPLs only. No ADB, AfDB, bilateral, or IMF comparator.</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Heterogeneity_Tests</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By ideology subgroup (binary, 3-point, continuous).
By loan sample (115/161/215 observations).
By outcome operationalisation (ordinal 1–6 vs. binary satisfactory/not).
No geographic or sectoral heterogeneity analysis (sample too small).</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Your_Advance</w:t>
            </w:r>
          </w:p>
        </w:tc>
        <w:tc>
          <w:tcPr>
            <w:tcW w:type="dxa" w:w="7560"/>
            <w:tcBorders>
              <w:top w:val="single" w:color="BFBFBF" w:sz="1"/>
              <w:left w:val="single" w:color="BFBFBF" w:sz="1"/>
              <w:bottom w:val="single" w:color="BFBFBF" w:sz="1"/>
              <w:right w:val="single" w:color="BFBFBF" w:sz="1"/>
            </w:tcBorders>
            <w:shd w:fill="C6EFCE"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Brandon (this study) makes five advances on Smets et al. (2012):
1. QE AS PRIMARY CAUSAL X: Smets et al. use QE as an intermediate outcome (mediator) in stage 1 and as a predictor only in the triangular outcome equation. Brandon makes QE the sole primary X in a direct QE→outcome regression.
2. SCALE: n=12,328 vs. 161 — 76× larger; all loan types, not DPLs only.
3. ODDS RATIO: OR=27.8 reported — the first in any QE study. Smets reports β on 1–6 scale only.
4. RATER INDEPENDENCE: Brandon uses IEG outcome ratings (independent evaluator) as Y; QE is rated by Bank task teams — exploiting this structural separation as an identification advantage. Smets et al. acknowledge rater conflation but cannot resolve it.
5. PORTFOLIO BREADTH: All WB sectors and loan types vs. economic policy loans only.</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top"/>
          </w:tcPr>
          <w:p>
            <w:pPr>
              <w:spacing w:before="0" w:after="0"/>
            </w:pPr>
            <w:r>
              <w:rPr>
                <w:rFonts w:ascii="Arial" w:cs="Arial" w:eastAsia="Arial" w:hAnsi="Arial"/>
                <w:b/>
                <w:bCs/>
                <w:i w:val="false"/>
                <w:iCs w:val="false"/>
                <w:color w:val="000000"/>
                <w:sz w:val="15"/>
                <w:szCs w:val="15"/>
              </w:rPr>
              <w:t xml:space="preserve">Quote_For_Paper</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pPr>
              <w:spacing w:before="0" w:after="0"/>
            </w:pPr>
            <w:r>
              <w:rPr>
                <w:rFonts w:ascii="Arial" w:cs="Arial" w:eastAsia="Arial" w:hAnsi="Arial"/>
                <w:b w:val="false"/>
                <w:bCs w:val="false"/>
                <w:i w:val="false"/>
                <w:iCs w:val="false"/>
                <w:color w:val="000000"/>
                <w:sz w:val="15"/>
                <w:szCs w:val="15"/>
              </w:rPr>
              <w:t xml:space="preserve">'Results also suggest that World Bank resources are more productive — in terms of reform success — in the design of policy operations than in their supervision.' (Smets et al. 2012, Abstract)
'The IEG is independent of the Bank's senior management; the outcome variables are highly correlated with improvements in observed economic performance; IEG ratings do not significantly differ from the ratings of independent external evaluators.' (Smets et al. 2012, p.8, citing Dollar &amp; Svensson 2000 and Denizer et al. 2011 on IEG validity)</w:t>
            </w:r>
          </w:p>
        </w:tc>
      </w:tr>
    </w:tbl>
    <w:p>
      <w:pPr>
        <w:spacing w:before="80" w:after="80"/>
      </w:pPr>
      <w:r>
        <w:t xml:space="preserve"/>
      </w:r>
    </w:p>
    <w:p>
      <w:r>
        <w:br w:type="page"/>
      </w:r>
    </w:p>
    <w:p>
      <w:pPr>
        <w:pStyle w:val="Heading1"/>
        <w:spacing w:before="400" w:after="160"/>
      </w:pPr>
      <w:r>
        <w:rPr>
          <w:rFonts w:ascii="Arial" w:cs="Arial" w:eastAsia="Arial" w:hAnsi="Arial"/>
          <w:b/>
          <w:bCs/>
          <w:color w:val="1F3864"/>
          <w:sz w:val="36"/>
          <w:szCs w:val="36"/>
        </w:rPr>
        <w:t xml:space="preserve">STREAM SUMMARY — MDB Econometrics</w:t>
      </w:r>
    </w:p>
    <w:p>
      <w:pPr>
        <w:pBdr>
          <w:bottom w:val="single" w:color="2E5FA3" w:sz="6"/>
        </w:pBdr>
        <w:spacing w:before="120" w:after="120"/>
      </w:pPr>
    </w:p>
    <w:p>
      <w:pPr>
        <w:pStyle w:val="Heading2"/>
        <w:spacing w:before="320" w:after="120"/>
      </w:pPr>
      <w:r>
        <w:rPr>
          <w:rFonts w:ascii="Arial" w:cs="Arial" w:eastAsia="Arial" w:hAnsi="Arial"/>
          <w:b/>
          <w:bCs/>
          <w:color w:val="2E5FA3"/>
          <w:sz w:val="28"/>
          <w:szCs w:val="28"/>
        </w:rPr>
        <w:t xml:space="preserve">Inclusion / Exclusion Count</w:t>
      </w:r>
    </w:p>
    <w:p>
      <w:pPr>
        <w:spacing w:before="60" w:after="60"/>
      </w:pPr>
      <w:r>
        <w:rPr>
          <w:rFonts w:ascii="Arial" w:cs="Arial" w:eastAsia="Arial" w:hAnsi="Arial"/>
          <w:b w:val="false"/>
          <w:bCs w:val="false"/>
          <w:i w:val="false"/>
          <w:iCs w:val="false"/>
          <w:sz w:val="20"/>
          <w:szCs w:val="20"/>
        </w:rPr>
        <w:t xml:space="preserve">Papers included: 5   |   Papers excluded: 1 (Dutta &amp; Williamson 2019 — macro-only edited volume, no project-level data)</w:t>
      </w:r>
    </w:p>
    <w:p>
      <w:pPr>
        <w:spacing w:before="80" w:after="80"/>
      </w:pPr>
      <w:r>
        <w:t xml:space="preserve"/>
      </w:r>
    </w:p>
    <w:p>
      <w:pPr>
        <w:pStyle w:val="Heading2"/>
        <w:spacing w:before="320" w:after="120"/>
      </w:pPr>
      <w:r>
        <w:rPr>
          <w:rFonts w:ascii="Arial" w:cs="Arial" w:eastAsia="Arial" w:hAnsi="Arial"/>
          <w:b/>
          <w:bCs/>
          <w:color w:val="2E5FA3"/>
          <w:sz w:val="28"/>
          <w:szCs w:val="28"/>
        </w:rPr>
        <w:t xml:space="preserve">Stream Gap — Confirmed in One Sentence</w:t>
      </w:r>
    </w:p>
    <w:p>
      <w:pPr>
        <w:pBdr>
          <w:top w:val="single" w:color="2E5FA3" w:sz="12"/>
          <w:left w:val="single" w:color="1F3864" w:sz="24"/>
          <w:bottom w:val="single" w:color="2E5FA3" w:sz="12"/>
          <w:right w:val="none"/>
        </w:pBdr>
        <w:shd w:fill="D9E2F3" w:val="clear"/>
        <w:spacing w:before="160" w:after="160"/>
        <w:ind w:left="360"/>
      </w:pPr>
      <w:r>
        <w:rPr>
          <w:rFonts w:ascii="Arial" w:cs="Arial" w:eastAsia="Arial" w:hAnsi="Arial"/>
          <w:b/>
          <w:bCs/>
          <w:i/>
          <w:iCs/>
          <w:color w:val="1F3864"/>
          <w:sz w:val="22"/>
          <w:szCs w:val="22"/>
        </w:rPr>
        <w:t xml:space="preserve">No existing peer-reviewed study has placed Quality at Entry (QE) as the primary causal predictor in a project-outcome regression, reported an odds ratio for that relationship, operated at full World Bank portfolio scale (n &gt; 10,000 projects), or replicated the QE→outcome finding across two institutions with structurally separated evaluators — all four conditions being met simultaneously by Brandon (this study) for the first time.</w:t>
      </w:r>
    </w:p>
    <w:p>
      <w:pPr>
        <w:spacing w:before="80" w:after="80"/>
      </w:pPr>
      <w:r>
        <w:t xml:space="preserve"/>
      </w:r>
    </w:p>
    <w:p>
      <w:pPr>
        <w:pStyle w:val="Heading2"/>
        <w:spacing w:before="320" w:after="120"/>
      </w:pPr>
      <w:r>
        <w:rPr>
          <w:rFonts w:ascii="Arial" w:cs="Arial" w:eastAsia="Arial" w:hAnsi="Arial"/>
          <w:b/>
          <w:bCs/>
          <w:color w:val="2E5FA3"/>
          <w:sz w:val="28"/>
          <w:szCs w:val="28"/>
        </w:rPr>
        <w:t xml:space="preserve">Top Forward Citations to Chase</w:t>
      </w:r>
    </w:p>
    <w:p>
      <w:pPr>
        <w:pBdr>
          <w:bottom w:val="single" w:color="2E5FA3" w:sz="6"/>
        </w:pBdr>
        <w:spacing w:before="120" w:after="120"/>
      </w:pPr>
    </w:p>
    <w:p>
      <w:pPr>
        <w:spacing w:before="240" w:after="80"/>
      </w:pPr>
      <w:r>
        <w:rPr>
          <w:rFonts w:ascii="Arial" w:cs="Arial" w:eastAsia="Arial" w:hAnsi="Arial"/>
          <w:b/>
          <w:bCs/>
          <w:color w:val="404040"/>
          <w:sz w:val="22"/>
          <w:szCs w:val="22"/>
        </w:rPr>
        <w:t xml:space="preserve">CITATION 1 (PRIORITY — HIGHEST) | Morra, L.G. &amp; Thumm, U.R.W. (1997)</w:t>
      </w:r>
    </w:p>
    <w:p>
      <w:pPr>
        <w:spacing w:before="60" w:after="60"/>
      </w:pPr>
      <w:r>
        <w:rPr>
          <w:rFonts w:ascii="Arial" w:cs="Arial" w:eastAsia="Arial" w:hAnsi="Arial"/>
          <w:b w:val="false"/>
          <w:bCs w:val="false"/>
          <w:i w:val="false"/>
          <w:iCs w:val="false"/>
          <w:sz w:val="20"/>
          <w:szCs w:val="20"/>
        </w:rPr>
        <w:t xml:space="preserve">Full reference: Morra, L.G. and Thumm, U.R.W. (1997). Cited in: Boakye &amp; Liu (2017) as 'OPEV-AfDB (2010) Project Governance' — original WB OED report.</w:t>
      </w:r>
    </w:p>
    <w:p>
      <w:pPr>
        <w:spacing w:before="60" w:after="60"/>
      </w:pPr>
      <w:r>
        <w:rPr>
          <w:rFonts w:ascii="Arial" w:cs="Arial" w:eastAsia="Arial" w:hAnsi="Arial"/>
          <w:b w:val="false"/>
          <w:bCs w:val="false"/>
          <w:i w:val="false"/>
          <w:iCs w:val="false"/>
          <w:sz w:val="20"/>
          <w:szCs w:val="20"/>
        </w:rPr>
        <w:t xml:space="preserve">Why chase: Contains the single most direct precursor to OR=27.8. WB OED study of n=1,125 projects found 80% of adequate-QAE projects succeeded vs. 35% of inadequate-QAE projects. This translates to an OR of approximately 8.0 — showing a large QAE effect predating Brandon's analysis by ~25 years. Retrieving the full report enables Steve to show that the QE→outcome relationship has been documented across different measurement eras, strengthening the claim that OR=27.8 reflects a stable structural relationship rather than an artefact of the current data period.</w:t>
      </w:r>
    </w:p>
    <w:p>
      <w:pPr>
        <w:spacing w:before="60" w:after="60"/>
      </w:pPr>
      <w:r>
        <w:rPr>
          <w:rFonts w:ascii="Arial" w:cs="Arial" w:eastAsia="Arial" w:hAnsi="Arial"/>
          <w:b w:val="false"/>
          <w:bCs w:val="false"/>
          <w:i w:val="false"/>
          <w:iCs w:val="false"/>
          <w:sz w:val="20"/>
          <w:szCs w:val="20"/>
        </w:rPr>
        <w:t xml:space="preserve">Action: Search World Bank OED archives (http://ieg.worldbankgroup.org); search for 'Morra Thumm 1997 project quality entry OED annual review'.</w:t>
      </w:r>
    </w:p>
    <w:p>
      <w:pPr>
        <w:spacing w:before="80" w:after="80"/>
      </w:pPr>
      <w:r>
        <w:t xml:space="preserve"/>
      </w:r>
    </w:p>
    <w:p>
      <w:pPr>
        <w:spacing w:before="240" w:after="80"/>
      </w:pPr>
      <w:r>
        <w:rPr>
          <w:rFonts w:ascii="Arial" w:cs="Arial" w:eastAsia="Arial" w:hAnsi="Arial"/>
          <w:b/>
          <w:bCs/>
          <w:color w:val="404040"/>
          <w:sz w:val="22"/>
          <w:szCs w:val="22"/>
        </w:rPr>
        <w:t xml:space="preserve">CITATION 2 (ESSENTIAL) | Denizer, C., Kaufmann, D. &amp; Kraay, A. (2011)</w:t>
      </w:r>
    </w:p>
    <w:p>
      <w:pPr>
        <w:spacing w:before="60" w:after="60"/>
      </w:pPr>
      <w:r>
        <w:rPr>
          <w:rFonts w:ascii="Arial" w:cs="Arial" w:eastAsia="Arial" w:hAnsi="Arial"/>
          <w:b w:val="false"/>
          <w:bCs w:val="false"/>
          <w:i w:val="false"/>
          <w:iCs w:val="false"/>
          <w:sz w:val="20"/>
          <w:szCs w:val="20"/>
        </w:rPr>
        <w:t xml:space="preserve">Full reference: Denizer, C., Kaufmann, D., and Kraay, A. (2011). 'Good countries or good projects? Macro and micro correlates of World Bank project performance.' World Bank Policy Research Working Paper 5646.</w:t>
      </w:r>
    </w:p>
    <w:p>
      <w:pPr>
        <w:spacing w:before="60" w:after="60"/>
      </w:pPr>
      <w:r>
        <w:rPr>
          <w:rFonts w:ascii="Arial" w:cs="Arial" w:eastAsia="Arial" w:hAnsi="Arial"/>
          <w:b w:val="false"/>
          <w:bCs w:val="false"/>
          <w:i w:val="false"/>
          <w:iCs w:val="false"/>
          <w:sz w:val="20"/>
          <w:szCs w:val="20"/>
        </w:rPr>
        <w:t xml:space="preserve">Why chase: This paper (abbreviated DKK in Kilby 2012) is the most-cited micro-correlates study of WB project performance in the MDB econometrics stream. It tests country-level CPIA and governance indicators vs. project-level factors as predictors of IEG ratings. Smets et al. (2012) explicitly cite DKK's treatment of IEG ratings as valid outcome measures. DKK covers the largest pre-existing WB project dataset and will be a required comparison point for Brandon's n=12,328. DKK does NOT include QE as a predictor — directly establishing the gap.</w:t>
      </w:r>
    </w:p>
    <w:p>
      <w:pPr>
        <w:spacing w:before="60" w:after="60"/>
      </w:pPr>
      <w:r>
        <w:rPr>
          <w:rFonts w:ascii="Arial" w:cs="Arial" w:eastAsia="Arial" w:hAnsi="Arial"/>
          <w:b w:val="false"/>
          <w:bCs w:val="false"/>
          <w:i w:val="false"/>
          <w:iCs w:val="false"/>
          <w:sz w:val="20"/>
          <w:szCs w:val="20"/>
        </w:rPr>
        <w:t xml:space="preserve">Action: Download World Bank Policy Research Working Paper 5646 directly from the World Bank Open Knowledge Repository.</w:t>
      </w:r>
    </w:p>
    <w:p>
      <w:pPr>
        <w:spacing w:before="80" w:after="80"/>
      </w:pPr>
      <w:r>
        <w:t xml:space="preserve"/>
      </w:r>
    </w:p>
    <w:p>
      <w:pPr>
        <w:spacing w:before="240" w:after="80"/>
      </w:pPr>
      <w:r>
        <w:rPr>
          <w:rFonts w:ascii="Arial" w:cs="Arial" w:eastAsia="Arial" w:hAnsi="Arial"/>
          <w:b/>
          <w:bCs/>
          <w:color w:val="404040"/>
          <w:sz w:val="22"/>
          <w:szCs w:val="22"/>
        </w:rPr>
        <w:t xml:space="preserve">CITATION 3 (IMPORTANT) | Dreher, A., Klasen, S., Vreeland, J.R. &amp; Werker, E. (forthcoming/published as DKVW)</w:t>
      </w:r>
    </w:p>
    <w:p>
      <w:pPr>
        <w:spacing w:before="60" w:after="60"/>
      </w:pPr>
      <w:r>
        <w:rPr>
          <w:rFonts w:ascii="Arial" w:cs="Arial" w:eastAsia="Arial" w:hAnsi="Arial"/>
          <w:b w:val="false"/>
          <w:bCs w:val="false"/>
          <w:i w:val="false"/>
          <w:iCs w:val="false"/>
          <w:sz w:val="20"/>
          <w:szCs w:val="20"/>
        </w:rPr>
        <w:t xml:space="preserve">Full reference (Kilby cites as forthcoming 2012): Dreher, A., Klasen, S., Vreeland, J.R., and Werker, E. 'The costs of favoritism: Is politically-driven aid less effective?' Economic Development and Cultural Change. [Check publication year — likely 2013–2014.]</w:t>
      </w:r>
    </w:p>
    <w:p>
      <w:pPr>
        <w:spacing w:before="60" w:after="60"/>
      </w:pPr>
      <w:r>
        <w:rPr>
          <w:rFonts w:ascii="Arial" w:cs="Arial" w:eastAsia="Arial" w:hAnsi="Arial"/>
          <w:b w:val="false"/>
          <w:bCs w:val="false"/>
          <w:i w:val="false"/>
          <w:iCs w:val="false"/>
          <w:sz w:val="20"/>
          <w:szCs w:val="20"/>
        </w:rPr>
        <w:t xml:space="preserve">Why chase: DKVW is the closest antecedent to Kilby's identification strategy, testing how geopolitical favouritism (which compresses preparation) affects WB project outcomes. The 'economic vulnerability hypothesis' — that political interference is most harmful when countries are most vulnerable — is a key heterogeneity mechanism Brandon can test. DKVW establishes the precedent that shortened preparation reduces project success, reinforcing the QE mechanism. Also sets the comparison benchmark for political economy controls in Brandon's model.</w:t>
      </w:r>
    </w:p>
    <w:p>
      <w:pPr>
        <w:spacing w:before="60" w:after="60"/>
      </w:pPr>
      <w:r>
        <w:rPr>
          <w:rFonts w:ascii="Arial" w:cs="Arial" w:eastAsia="Arial" w:hAnsi="Arial"/>
          <w:b w:val="false"/>
          <w:bCs w:val="false"/>
          <w:i w:val="false"/>
          <w:iCs w:val="false"/>
          <w:sz w:val="20"/>
          <w:szCs w:val="20"/>
        </w:rPr>
        <w:t xml:space="preserve">Action: Search Google Scholar for 'Dreher Klasen Vreeland Werker costs favoritism politically-driven aid' to confirm publication details.</w:t>
      </w:r>
    </w:p>
    <w:p>
      <w:pPr>
        <w:spacing w:before="80" w:after="80"/>
      </w:pPr>
      <w:r>
        <w:t xml:space="preserve"/>
      </w:r>
    </w:p>
    <w:p>
      <w:pPr>
        <w:spacing w:before="240" w:after="80"/>
      </w:pPr>
      <w:r>
        <w:rPr>
          <w:rFonts w:ascii="Arial" w:cs="Arial" w:eastAsia="Arial" w:hAnsi="Arial"/>
          <w:b/>
          <w:bCs/>
          <w:color w:val="404040"/>
          <w:sz w:val="22"/>
          <w:szCs w:val="22"/>
        </w:rPr>
        <w:t xml:space="preserve">CITATION 4 (SUPPLEMENTARY) | Dollar, D. &amp; Svensson, J. (2000)</w:t>
      </w:r>
    </w:p>
    <w:p>
      <w:pPr>
        <w:spacing w:before="60" w:after="60"/>
      </w:pPr>
      <w:r>
        <w:rPr>
          <w:rFonts w:ascii="Arial" w:cs="Arial" w:eastAsia="Arial" w:hAnsi="Arial"/>
          <w:b w:val="false"/>
          <w:bCs w:val="false"/>
          <w:i w:val="false"/>
          <w:iCs w:val="false"/>
          <w:sz w:val="20"/>
          <w:szCs w:val="20"/>
        </w:rPr>
        <w:t xml:space="preserve">Full reference: Dollar, D. and Svensson, J. (2000). 'What explains the success or failure of structural adjustment programmes?' The Economic Journal, 110(466), pp. 894–917.</w:t>
      </w:r>
    </w:p>
    <w:p>
      <w:pPr>
        <w:spacing w:before="60" w:after="60"/>
      </w:pPr>
      <w:r>
        <w:rPr>
          <w:rFonts w:ascii="Arial" w:cs="Arial" w:eastAsia="Arial" w:hAnsi="Arial"/>
          <w:b w:val="false"/>
          <w:bCs w:val="false"/>
          <w:i w:val="false"/>
          <w:iCs w:val="false"/>
          <w:sz w:val="20"/>
          <w:szCs w:val="20"/>
        </w:rPr>
        <w:t xml:space="preserve">Why chase: The foundational paper establishing that recipient-country political characteristics (not donor preparation effort) drive structural adjustment program success. Smets et al. explicitly use Dollar &amp; Svensson's methodology and validate IEG ratings against their findings. Dollar &amp; Svensson find donor effort does NOT predict success — providing the null finding that Kilby (2012) and Smets et al. (2012) refute, and which Brandon's OR=27.8 further refutes with the QE channel. Necessary for the intellectual history section of the thesis.</w:t>
      </w:r>
    </w:p>
    <w:p>
      <w:pPr>
        <w:spacing w:before="60" w:after="60"/>
      </w:pPr>
      <w:r>
        <w:rPr>
          <w:rFonts w:ascii="Arial" w:cs="Arial" w:eastAsia="Arial" w:hAnsi="Arial"/>
          <w:b w:val="false"/>
          <w:bCs w:val="false"/>
          <w:i w:val="false"/>
          <w:iCs w:val="false"/>
          <w:sz w:val="20"/>
          <w:szCs w:val="20"/>
        </w:rPr>
        <w:t xml:space="preserve">Action: Already well-known; retrieve from JSTOR or author page.</w:t>
      </w:r>
    </w:p>
    <w:p>
      <w:pPr>
        <w:spacing w:before="80" w:after="80"/>
      </w:pPr>
      <w:r>
        <w:t xml:space="preserve"/>
      </w:r>
    </w:p>
    <w:p>
      <w:pPr>
        <w:pStyle w:val="Heading2"/>
        <w:spacing w:before="320" w:after="120"/>
      </w:pPr>
      <w:r>
        <w:rPr>
          <w:rFonts w:ascii="Arial" w:cs="Arial" w:eastAsia="Arial" w:hAnsi="Arial"/>
          <w:b/>
          <w:bCs/>
          <w:color w:val="2E5FA3"/>
          <w:sz w:val="28"/>
          <w:szCs w:val="28"/>
        </w:rPr>
        <w:t xml:space="preserve">Copy-Paste Ready Output for Synthesis Project</w:t>
      </w:r>
    </w:p>
    <w:p>
      <w:pPr>
        <w:pBdr>
          <w:bottom w:val="single" w:color="2E5FA3" w:sz="6"/>
        </w:pBdr>
        <w:spacing w:before="120" w:after="120"/>
      </w:pPr>
    </w:p>
    <w:p>
      <w:pPr>
        <w:shd w:fill="1F3864" w:val="clear"/>
        <w:spacing w:before="120" w:after="120"/>
        <w:ind w:left="360"/>
      </w:pPr>
      <w:r>
        <w:rPr>
          <w:rFonts w:ascii="Arial" w:cs="Arial" w:eastAsia="Arial" w:hAnsi="Arial"/>
          <w:b/>
          <w:bCs/>
          <w:color w:val="FFFFFF"/>
          <w:sz w:val="22"/>
          <w:szCs w:val="22"/>
        </w:rPr>
        <w:t xml:space="preserve">SYNTHESIS PROJECT — MDB ECONOMETRICS STREAM NARRATIVE</w:t>
      </w:r>
    </w:p>
    <w:p>
      <w:pPr>
        <w:spacing w:before="80" w:after="80"/>
      </w:pPr>
      <w:r>
        <w:t xml:space="preserve"/>
      </w:r>
    </w:p>
    <w:p>
      <w:pPr>
        <w:spacing w:before="60" w:after="60"/>
      </w:pPr>
      <w:r>
        <w:rPr>
          <w:rFonts w:ascii="Arial" w:cs="Arial" w:eastAsia="Arial" w:hAnsi="Arial"/>
          <w:b w:val="false"/>
          <w:bCs w:val="false"/>
          <w:i w:val="false"/>
          <w:iCs w:val="false"/>
          <w:sz w:val="20"/>
          <w:szCs w:val="20"/>
        </w:rPr>
        <w:t xml:space="preserve">The MDB Econometrics stream (5 papers included, 1 excluded) establishes three things required to justify the Brandon study:</w:t>
      </w:r>
    </w:p>
    <w:p>
      <w:pPr>
        <w:spacing w:before="60" w:after="60"/>
      </w:pPr>
      <w:r>
        <w:rPr>
          <w:rFonts w:ascii="Arial" w:cs="Arial" w:eastAsia="Arial" w:hAnsi="Arial"/>
          <w:b w:val="false"/>
          <w:bCs w:val="false"/>
          <w:i w:val="false"/>
          <w:iCs w:val="false"/>
          <w:sz w:val="20"/>
          <w:szCs w:val="20"/>
        </w:rPr>
        <w:t xml:space="preserve">First, that project-level preparation effort and design quality predict World Bank project outcomes. Kilby (2012) demonstrates this with n=4,147 projects using an IV approach: exogenous preparation duration (purged of political influence via a stochastic frontier model) predicts satisfactory IEG outcome ratings across all major specifications, including country and government fixed effects. The effect is substantively meaningful (67.4% to 90.5% probability of success across the range of preparation durations) and statistically robust (z=2.31, bootstrapped z=2.17). Kilby's key limitation is that preparation duration is a proxy for design quality — he measures inputs, not the constructed quality-at-entry score.</w:t>
      </w:r>
    </w:p>
    <w:p>
      <w:pPr>
        <w:spacing w:before="80" w:after="80"/>
      </w:pPr>
      <w:r>
        <w:t xml:space="preserve"/>
      </w:r>
    </w:p>
    <w:p>
      <w:pPr>
        <w:spacing w:before="60" w:after="60"/>
      </w:pPr>
      <w:r>
        <w:rPr>
          <w:rFonts w:ascii="Arial" w:cs="Arial" w:eastAsia="Arial" w:hAnsi="Arial"/>
          <w:b w:val="false"/>
          <w:bCs w:val="false"/>
          <w:i w:val="false"/>
          <w:iCs w:val="false"/>
          <w:sz w:val="20"/>
          <w:szCs w:val="20"/>
        </w:rPr>
        <w:t xml:space="preserve">Second, that Quality at Entry (QE) as a directly measured construct predicts program success. Smets, Knack and Molenaers (2012) — the only study to use the IEG's actual QE rating as a predictor — find β=0.351–0.574 (p&lt;0.01) for QE→outcome across all specifications of their recursive triangular system (n=161 DPLs, 1985–2007). Their marginal effects show an 18% higher probability of a well-designed loan for governments whose ideology aligns with reform. Critically, they also find that design effort is more productive than supervision effort — a result that directly motivates measuring QE's magnitude. Their three key limitations are: (a) QE is a mediator not the primary X; (b) DPLs only (n=161, ~15% of the portfolio); (c) no odds ratio reported.</w:t>
      </w:r>
    </w:p>
    <w:p>
      <w:pPr>
        <w:spacing w:before="80" w:after="80"/>
      </w:pPr>
      <w:r>
        <w:t xml:space="preserve"/>
      </w:r>
    </w:p>
    <w:p>
      <w:pPr>
        <w:spacing w:before="60" w:after="60"/>
      </w:pPr>
      <w:r>
        <w:rPr>
          <w:rFonts w:ascii="Arial" w:cs="Arial" w:eastAsia="Arial" w:hAnsi="Arial"/>
          <w:b w:val="false"/>
          <w:bCs w:val="false"/>
          <w:i w:val="false"/>
          <w:iCs w:val="false"/>
          <w:sz w:val="20"/>
          <w:szCs w:val="20"/>
        </w:rPr>
        <w:t xml:space="preserve">Third, that sector-specific quantitative analyses of WB project performance are methodologically established but systematically omit QE as a predictor. Lee (2016) runs logit models with odds ratios on ~1,000 education projects (1986–2011) and finds government effectiveness, project duration, and subsector significant — but includes no QE variable. Dathan (2018) runs OLS on 445 health and education projects (2000–2010) and finds that past performance does NOT predict future outcomes (p=0.845), but that supervision and quality-control characteristics do — implying that within-project design quality (which she does not measure) is the missing driver.</w:t>
      </w:r>
    </w:p>
    <w:p>
      <w:pPr>
        <w:spacing w:before="80" w:after="80"/>
      </w:pPr>
      <w:r>
        <w:t xml:space="preserve"/>
      </w:r>
    </w:p>
    <w:p>
      <w:pPr>
        <w:spacing w:before="60" w:after="60"/>
      </w:pPr>
      <w:r>
        <w:rPr>
          <w:rFonts w:ascii="Arial" w:cs="Arial" w:eastAsia="Arial" w:hAnsi="Arial"/>
          <w:b w:val="false"/>
          <w:bCs w:val="false"/>
          <w:i w:val="false"/>
          <w:iCs w:val="false"/>
          <w:sz w:val="20"/>
          <w:szCs w:val="20"/>
        </w:rPr>
        <w:t xml:space="preserve">Factor-analytic evidence from AfDB projects (Boakye &amp; Liu 2017, n=53) confirms QAE as the dominant explanatory component of IDP failure (factor loading .947), and cites the foundational WB OED study (Morra &amp; Thumm 1997, n=1,125) showing 80% of adequate-QAE projects succeeded vs. 35% inadequate-QAE. This cross-institution finding and the Morra/Thumm result are the two most direct empirical precursors to OR=27.8.</w:t>
      </w:r>
    </w:p>
    <w:p>
      <w:pPr>
        <w:spacing w:before="80" w:after="80"/>
      </w:pPr>
      <w:r>
        <w:t xml:space="preserve"/>
      </w:r>
    </w:p>
    <w:p>
      <w:pPr>
        <w:spacing w:before="60" w:after="60"/>
      </w:pPr>
      <w:r>
        <w:rPr>
          <w:rFonts w:ascii="Arial" w:cs="Arial" w:eastAsia="Arial" w:hAnsi="Arial"/>
          <w:b/>
          <w:bCs/>
          <w:i w:val="false"/>
          <w:iCs w:val="false"/>
          <w:sz w:val="20"/>
          <w:szCs w:val="20"/>
        </w:rPr>
        <w:t xml:space="preserve">The stream gap is unambiguous and fourfold:</w:t>
      </w:r>
    </w:p>
    <w:p>
      <w:pPr>
        <w:spacing w:before="60" w:after="60"/>
        <w:ind w:left="720"/>
      </w:pPr>
      <w:r>
        <w:rPr>
          <w:rFonts w:ascii="Arial" w:cs="Arial" w:eastAsia="Arial" w:hAnsi="Arial"/>
          <w:b w:val="false"/>
          <w:bCs w:val="false"/>
          <w:i w:val="false"/>
          <w:iCs w:val="false"/>
          <w:sz w:val="20"/>
          <w:szCs w:val="20"/>
        </w:rPr>
        <w:t xml:space="preserve">(1) No study has placed QE as the sole primary causal predictor in a project-outcome regression.</w:t>
      </w:r>
    </w:p>
    <w:p>
      <w:pPr>
        <w:spacing w:before="60" w:after="60"/>
        <w:ind w:left="720"/>
      </w:pPr>
      <w:r>
        <w:rPr>
          <w:rFonts w:ascii="Arial" w:cs="Arial" w:eastAsia="Arial" w:hAnsi="Arial"/>
          <w:b w:val="false"/>
          <w:bCs w:val="false"/>
          <w:i w:val="false"/>
          <w:iCs w:val="false"/>
          <w:sz w:val="20"/>
          <w:szCs w:val="20"/>
        </w:rPr>
        <w:t xml:space="preserve">(2) No study has estimated an odds ratio for QE→outcome.</w:t>
      </w:r>
    </w:p>
    <w:p>
      <w:pPr>
        <w:spacing w:before="60" w:after="60"/>
        <w:ind w:left="720"/>
      </w:pPr>
      <w:r>
        <w:rPr>
          <w:rFonts w:ascii="Arial" w:cs="Arial" w:eastAsia="Arial" w:hAnsi="Arial"/>
          <w:b w:val="false"/>
          <w:bCs w:val="false"/>
          <w:i w:val="false"/>
          <w:iCs w:val="false"/>
          <w:sz w:val="20"/>
          <w:szCs w:val="20"/>
        </w:rPr>
        <w:t xml:space="preserve">(3) No study has operated at full WB portfolio scale (n&gt;10,000 projects across all sectors and loan types).</w:t>
      </w:r>
    </w:p>
    <w:p>
      <w:pPr>
        <w:spacing w:before="60" w:after="60"/>
        <w:ind w:left="720"/>
      </w:pPr>
      <w:r>
        <w:rPr>
          <w:rFonts w:ascii="Arial" w:cs="Arial" w:eastAsia="Arial" w:hAnsi="Arial"/>
          <w:b w:val="false"/>
          <w:bCs w:val="false"/>
          <w:i w:val="false"/>
          <w:iCs w:val="false"/>
          <w:sz w:val="20"/>
          <w:szCs w:val="20"/>
        </w:rPr>
        <w:t xml:space="preserve">(4) No study has exploited the structural separation between QE raters (Bank task teams) and outcome raters (independent IEG) as an identification advantage, nor replicated the finding cross-institutionally with separated evaluators.</w:t>
      </w:r>
    </w:p>
    <w:p>
      <w:pPr>
        <w:spacing w:before="80" w:after="80"/>
      </w:pPr>
      <w:r>
        <w:t xml:space="preserve"/>
      </w:r>
    </w:p>
    <w:p>
      <w:pPr>
        <w:spacing w:before="60" w:after="60"/>
      </w:pPr>
      <w:r>
        <w:rPr>
          <w:rFonts w:ascii="Arial" w:cs="Arial" w:eastAsia="Arial" w:hAnsi="Arial"/>
          <w:b/>
          <w:bCs/>
          <w:i/>
          <w:iCs/>
          <w:sz w:val="20"/>
          <w:szCs w:val="20"/>
        </w:rPr>
        <w:t xml:space="preserve">Brandon (this study) addresses all four gaps simultaneously with n=12,328 projects and OR=27.8, providing the first direct, full-portfolio, odds-ratio estimate of design quality's causal effect on World Bank project success.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2026-02-21T05:19:12.404Z</dcterms:created>
  <dcterms:modified xsi:type="dcterms:W3CDTF">2026-02-21T05:19:12.405Z</dcterms:modified>
</cp:coreProperties>
</file>

<file path=docProps/custom.xml><?xml version="1.0" encoding="utf-8"?>
<Properties xmlns="http://schemas.openxmlformats.org/officeDocument/2006/custom-properties" xmlns:vt="http://schemas.openxmlformats.org/officeDocument/2006/docPropsVTypes"/>
</file>