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2E5694"/>
          <w:sz w:val="40"/>
          <w:szCs w:val="40"/>
        </w:rPr>
        <w:t xml:space="preserve">PROCUREMENT ARCHITECTURE STREAM — SYSTEMATIC LITERATURE CODING</w:t>
      </w:r>
    </w:p>
    <w:p>
      <w:pPr>
        <w:spacing w:before="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PhD Research: Brandon, S. — QUT/Griffith | OR=27.8 Reverse-Engineering Project | February 2026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Coding Protocol: INCLUDE if quantitative outcome + regression/causal claim + development projects + peer-reviewed or credible working paper</w:t>
      </w:r>
    </w:p>
    <w:p>
      <w:pPr>
        <w:pStyle w:val="Heading1"/>
        <w:spacing w:before="120" w:after="160"/>
      </w:pPr>
      <w:r>
        <w:rPr>
          <w:rFonts w:ascii="Arial" w:cs="Arial" w:eastAsia="Arial" w:hAnsi="Arial"/>
          <w:b/>
          <w:bCs/>
          <w:color w:val="2E5694"/>
          <w:sz w:val="36"/>
          <w:szCs w:val="36"/>
        </w:rPr>
        <w:t xml:space="preserve">TAB A — All Papers Screened (17 Fields)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Screening Result: 2 INCLUDED | 5 EXCLUDED</w:t>
      </w:r>
    </w:p>
    <w:tbl>
      <w:tblPr>
        <w:tblW w:type="dxa" w:w="12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380"/>
        <w:gridCol w:w="1300"/>
        <w:gridCol w:w="950"/>
        <w:gridCol w:w="650"/>
        <w:gridCol w:w="1100"/>
        <w:gridCol w:w="750"/>
        <w:gridCol w:w="750"/>
        <w:gridCol w:w="650"/>
        <w:gridCol w:w="750"/>
        <w:gridCol w:w="440"/>
        <w:gridCol w:w="1300"/>
        <w:gridCol w:w="1150"/>
        <w:gridCol w:w="450"/>
        <w:gridCol w:w="440"/>
        <w:gridCol w:w="700"/>
      </w:tblGrid>
      <w:tr>
        <w:trPr>
          <w:tblHeader/>
        </w:trPr>
        <w:tc>
          <w:tcPr>
            <w:tcW w:type="dxa" w:w="4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Paper_ID</w:t>
            </w:r>
          </w:p>
        </w:tc>
        <w:tc>
          <w:tcPr>
            <w:tcW w:type="dxa" w:w="8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</w:t>
            </w:r>
          </w:p>
        </w:tc>
        <w:tc>
          <w:tcPr>
            <w:tcW w:type="dxa" w:w="38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Journal/Source</w:t>
            </w:r>
          </w:p>
        </w:tc>
        <w:tc>
          <w:tcPr>
            <w:tcW w:type="dxa" w:w="6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11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Research_Question</w:t>
            </w:r>
          </w:p>
        </w:tc>
        <w:tc>
          <w:tcPr>
            <w:tcW w:type="dxa" w:w="7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Outcome_Variable</w:t>
            </w:r>
          </w:p>
        </w:tc>
        <w:tc>
          <w:tcPr>
            <w:tcW w:type="dxa" w:w="7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Main_Predictor</w:t>
            </w:r>
          </w:p>
        </w:tc>
        <w:tc>
          <w:tcPr>
            <w:tcW w:type="dxa" w:w="6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Model_Type</w:t>
            </w:r>
          </w:p>
        </w:tc>
        <w:tc>
          <w:tcPr>
            <w:tcW w:type="dxa" w:w="7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44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n_Projects</w:t>
            </w:r>
          </w:p>
        </w:tc>
        <w:tc>
          <w:tcPr>
            <w:tcW w:type="dxa" w:w="13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Key_Finding</w:t>
            </w:r>
          </w:p>
        </w:tc>
        <w:tc>
          <w:tcPr>
            <w:tcW w:type="dxa" w:w="11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Gap_They_Left</w:t>
            </w:r>
          </w:p>
        </w:tc>
        <w:tc>
          <w:tcPr>
            <w:tcW w:type="dxa" w:w="4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Relevant_to_RQ</w:t>
            </w:r>
          </w:p>
        </w:tc>
        <w:tc>
          <w:tcPr>
            <w:tcW w:type="dxa" w:w="44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Deep_Read</w:t>
            </w:r>
          </w:p>
        </w:tc>
        <w:tc>
          <w:tcPr>
            <w:tcW w:type="dxa" w:w="7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Sicotte, Kosmopoulou, Lamarche &amp; Jung</w:t>
            </w:r>
          </w:p>
        </w:tc>
        <w:tc>
          <w:tcPr>
            <w:tcW w:type="dxa" w:w="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Renegotiation of Highway Construction Contracts: An Economic Analysis of Change Orders Issued by the Vermont Agency of Transportation, 2004–2009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Vermont Agency of Transportation / Univ. of Vermont — State Research Report (DOT Report 2013-01)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Architecture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strategic bidding behaviours (unbalanced bids, low initial bids) drive post-award renegotiation (change orders) on public infrastructure contracts?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and cost of change orders; total contract cost overrun (%)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Strategic bidding behaviour: unbalanced item pricing; number of bidders; firm identity (top contractor dummy)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OLS and logit regression; simulation exercises; Tobit for change-order size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VTrans administrative contract data 2004–2009: item-level bids, awarded contracts, change orders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~500+ contracts (highway and bridge projects)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80%+ of projects have change orders averaging +8% cost increase; top contractors have 20 pp higher probability of submitting change orders; strategic item-price manipulation confirmed econometrically; competition (more bidders) reduces cost overruns.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Single-agency US transport context; no controls for project design quality at appraisal; cannot identify whether root cause is procurement rule design or contractor opportunism; results not generalisable to low-income development-project settings.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INCLUDE. Credible state-agency working paper. Quantitative + regression + project-level data. Procurement rule design (lowest-bid DBB) shown to systematically enable strategic renegotiation — directly supports QE→outcome pathway.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Giuffrida, L.M. &amp; Rovigatti, G.</w:t>
            </w:r>
          </w:p>
        </w:tc>
        <w:tc>
          <w:tcPr>
            <w:tcW w:type="dxa" w:w="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the Private Sector Ensure the Public Interest? Evidence from Federal Procurement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ZEW Discussion Paper No. 18-045 (credible peer-reviewed working paper)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Architecture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procurement oversight (public bureaucratic vs. private performance-bond) causally affect execution costs and time on federal service contracts?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cost overrun; contract completion time overrun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oversight intensity; private oversight (performance bond) threshold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discontinuity design (RDD) exploiting statutory dollar thresholds; IV; robustness with bandwidth checks and placebo tests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Federal Procurement Data System (FPDS) 2005–2015, federal service contracts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~100,000+ contract observations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oversight (performance bonding) improves outcomes via bidder screening; public oversight worsens outcomes due to red-tape from low-competence buyers. Both effects are causal (exogenous threshold variation). Award price is a noisy outcome metric without quality controls.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federal services only — construction/infrastructure not primary focus; no pre-award design-quality measure; no cross-country or development-sector data; threshold validity assumes no manipulation near cut-off.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INCLUDE. ZEW peer-reviewed working paper. RDD = strong identification. Directly shows procurement oversight design → outcomes; private screening mechanism supports QE logic.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Chang, W-S., Salmon, T.C. &amp; Jabs Saral, K.</w:t>
            </w:r>
          </w:p>
        </w:tc>
        <w:tc>
          <w:tcPr>
            <w:tcW w:type="dxa" w:w="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Auctions with Renegotiation and Wealth Constraints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paper / IFREE-funded lab experiment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Architecture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allowing renegotiation in procurement auctions solve the problem of seller cost underestimation?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Winning bid; renegotiated price; frequency of successful renegotiation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Renegotiation rule (allowed vs. not); seller wealth constraint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Laboratory experiment with induced-value auctions; theory + experiment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experiment — induced values; no real project data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(experimental sessions)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Renegotiation rarely solves cost-underestimation; primarily advantages financially weak (default-credible) sellers who extract higher prices. Renegotiation is a procurement design failure mechanism.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real project data; cannot generalise to development project outcomes; no project quality predictor.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— supports mechanism, not empirical QE finding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 from main coding: lab experiment, no real project-level data, not development projects. Useful for mechanism narrative only.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Wells, J.</w:t>
            </w:r>
          </w:p>
        </w:tc>
        <w:tc>
          <w:tcPr>
            <w:tcW w:type="dxa" w:w="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c.2012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Getting Better Outcomes on Construction Projects: Suggestions for Modification of World Bank Procurement Procedures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Engineers Against Poverty / World Bank consultation paper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Architecture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does open-tender/lowest-price procurement fail to deliver value in developing-country construction and what reforms are needed?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qualitative argument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Descriptive/policy argument — no regression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literature review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competitive tendering with lowest-price award fails in low-income countries; recommends rejecting abnormally low bids, tracking contractor performance, and controlled experiments with alternative methods.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quantitative analysis; no regression; no project-level outcome data.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— contextual motivation for World Bank procurement reform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EXCLUDE: purely descriptive/policy paper, no quantitative outcome or regression. Useful as contextual motivation.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Kortenko, S., Koskela, L., Tzortzopoulos, P. &amp; Haghsheno, S.</w:t>
            </w:r>
          </w:p>
        </w:tc>
        <w:tc>
          <w:tcPr>
            <w:tcW w:type="dxa" w:w="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Effects of Design-Bid-Build Procurement on Construction Projects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Proceedings of IGLC28 (International Group for Lean Construction)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Architecture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negative effects of DBB procurement on construction project performance and environment?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qualitative literature mapping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DBB procurement system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Literature review with tree-diagram taxonomy of effects — no regression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literature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DBB drives adversarial relationships, late design changes, cost overruns, and prevents lean management adoption. Multi-party contracts perform better.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quantitative analysis; no project-level data; no causal identification.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— conceptual framing of DBB failure mechanisms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EXCLUDE: descriptive literature review, no quantitative outcome. Supports mechanism argument for procurement architecture gap.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Fiorino, N., Galli, E., Rizzo, I. &amp; Valente, M.</w:t>
            </w:r>
          </w:p>
        </w:tc>
        <w:tc>
          <w:tcPr>
            <w:tcW w:type="dxa" w:w="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Procurement and Reputation: An Agent-Based Model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SPRU Working Paper Series SWPS 2018-17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Architecture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inclusion of firm reputation in procurement selection reduce final contract cost? What configuration of rules performs best?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Simulated final contract cost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of reputation score in selection algorithm; skill heterogeneity; opportunistic rebate level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Agent-based computational simulation — no real project data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Simulated (parameterized ABM)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(simulation runs)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Reputation weight in selection significantly reduces simulated costs; policy implication: procurement rules should incorporate contractor track record.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 only — no empirical validation with real project outcomes; no development-sector data; no project quality design variable.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— reputation = proxy for ex-ante quality assessment; supports QE logic theoretically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EXCLUDE: simulation/ABM — no real project-level empirical data. Useful for theoretical motivation of reputation-based procurement.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Decarolis, F. &amp; Srhoj, S.</w:t>
            </w:r>
          </w:p>
        </w:tc>
        <w:tc>
          <w:tcPr>
            <w:tcW w:type="dxa" w:w="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Economics of Public Procurement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SSRN Working Paper (January 2026) — survey article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Architecture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does the economics literature tell us about how procurement design shapes prices, quality, delivery, and distribution of public money?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systematic survey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Literature survey using five-stage procurement-cycle framework — no regression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survey of empirical literature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 prices are noisy outcome metrics when quality and execution risks matter; procurement wedge is often large; heterogeneous effects of procurement design on firms and markets; calls for cumulative 'What Works' evidence base.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original data; no project-level analysis. Explicitly identifies quality and execution risk measurement as under-researched.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directly identifies the gap Steve fills: quality-adjusted procurement performance at project level</w:t>
            </w:r>
          </w:p>
        </w:tc>
        <w:tc>
          <w:tcPr>
            <w:tcW w:type="dxa" w:w="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 primary coding (review paper, no regression). HIGH value for synthesis framing: confirms the exact gap (quality-adjusted outcomes) that Steve's OR=27.8 fills. Use as authoritative citation for gap statement.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before="120" w:after="200"/>
      </w:pPr>
      <w:r>
        <w:rPr>
          <w:rFonts w:ascii="Arial" w:cs="Arial" w:eastAsia="Arial" w:hAnsi="Arial"/>
          <w:b/>
          <w:bCs/>
          <w:color w:val="2E5694"/>
          <w:sz w:val="36"/>
          <w:szCs w:val="36"/>
        </w:rPr>
        <w:t xml:space="preserve">TAB B — Deep Read Papers (Deep_Read = Yes | 16 Fields)</w:t>
      </w:r>
    </w:p>
    <w:p>
      <w:pPr>
        <w:spacing w:before="0" w:after="2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Deep Read Papers: PA-01 (Sicotte et al. 2013) | PA-02 (Giuffrida &amp; Rovigatti 2018)</w:t>
      </w:r>
    </w:p>
    <w:tbl>
      <w:tblPr>
        <w:tblW w:type="dxa" w:w="1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1200"/>
        <w:gridCol w:w="1000"/>
        <w:gridCol w:w="1000"/>
        <w:gridCol w:w="700"/>
        <w:gridCol w:w="700"/>
        <w:gridCol w:w="900"/>
        <w:gridCol w:w="900"/>
        <w:gridCol w:w="900"/>
        <w:gridCol w:w="900"/>
        <w:gridCol w:w="900"/>
        <w:gridCol w:w="800"/>
        <w:gridCol w:w="700"/>
        <w:gridCol w:w="900"/>
        <w:gridCol w:w="1000"/>
        <w:gridCol w:w="1300"/>
      </w:tblGrid>
      <w:tr>
        <w:trPr>
          <w:tblHeader/>
        </w:trPr>
        <w:tc>
          <w:tcPr>
            <w:tcW w:type="dxa" w:w="45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Paper_ID</w:t>
            </w:r>
          </w:p>
        </w:tc>
        <w:tc>
          <w:tcPr>
            <w:tcW w:type="dxa" w:w="9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Authors_Year</w:t>
            </w:r>
          </w:p>
        </w:tc>
        <w:tc>
          <w:tcPr>
            <w:tcW w:type="dxa" w:w="12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Model_Specification</w:t>
            </w:r>
          </w:p>
        </w:tc>
        <w:tc>
          <w:tcPr>
            <w:tcW w:type="dxa" w:w="10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Identification_Strategy</w:t>
            </w:r>
          </w:p>
        </w:tc>
        <w:tc>
          <w:tcPr>
            <w:tcW w:type="dxa" w:w="10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Control_Variables</w:t>
            </w:r>
          </w:p>
        </w:tc>
        <w:tc>
          <w:tcPr>
            <w:tcW w:type="dxa" w:w="7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Fixed_Effects</w:t>
            </w:r>
          </w:p>
        </w:tc>
        <w:tc>
          <w:tcPr>
            <w:tcW w:type="dxa" w:w="7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Standard_Errors</w:t>
            </w:r>
          </w:p>
        </w:tc>
        <w:tc>
          <w:tcPr>
            <w:tcW w:type="dxa" w:w="9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Main_Coefficient</w:t>
            </w:r>
          </w:p>
        </w:tc>
        <w:tc>
          <w:tcPr>
            <w:tcW w:type="dxa" w:w="9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Robustness_Tests</w:t>
            </w:r>
          </w:p>
        </w:tc>
        <w:tc>
          <w:tcPr>
            <w:tcW w:type="dxa" w:w="9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Bias_Acknowledged</w:t>
            </w:r>
          </w:p>
        </w:tc>
        <w:tc>
          <w:tcPr>
            <w:tcW w:type="dxa" w:w="9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Bias_NOT_Addressed</w:t>
            </w:r>
          </w:p>
        </w:tc>
        <w:tc>
          <w:tcPr>
            <w:tcW w:type="dxa" w:w="9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Data_Source_Detail</w:t>
            </w:r>
          </w:p>
        </w:tc>
        <w:tc>
          <w:tcPr>
            <w:tcW w:type="dxa" w:w="8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Sample_Restrictions</w:t>
            </w:r>
          </w:p>
        </w:tc>
        <w:tc>
          <w:tcPr>
            <w:tcW w:type="dxa" w:w="7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Cross_Institution</w:t>
            </w:r>
          </w:p>
        </w:tc>
        <w:tc>
          <w:tcPr>
            <w:tcW w:type="dxa" w:w="9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Heterogeneity_Tests</w:t>
            </w:r>
          </w:p>
        </w:tc>
        <w:tc>
          <w:tcPr>
            <w:tcW w:type="dxa" w:w="10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Your_Advance</w:t>
            </w:r>
          </w:p>
        </w:tc>
        <w:tc>
          <w:tcPr>
            <w:tcW w:type="dxa" w:w="13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Quote_For_Paper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Sicotte, Kosmopoulou, Lamarche &amp; Jung (2013)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OLS for total bid; logit/probit for P(change order); Tobit for change-order size; simulation model for counterfactual policy evaluation. Item-level bid regression to detect unbalanced bidding across work categories.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Within-project variation in item-level bid prices relative to engineer estimates; firm fixed effects absorb contractor-level constant unobservables; temporal variation in fuel/material price indices as instruments for cost-environment controls.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type (bridge vs. highway); project size ($); number of bidders; fuel price index; macroeconomic conditions (GDP growth); contract duration; geographic dummies.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 fixed effects; year fixed effects. No project-type fixed effects explicitly noted.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Clustered at firm level for main regressions; heteroskedasticity-robust for logit models.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Top-contractor dummy: +20 pp on P(change order); each additional bidder: −2 to −3% on cost overrun; strategic item-price margin: positive and significant on subsequent change-order frequency.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 exercises to evaluate alternative procurement rules; subsample analysis by project type; sensitivity to exclusion of outlier change-order values.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Selection bias acknowledged: firms self-select into bidding on projects where they anticipate renegotiation opportunity. Endogeneity of firm identity noted.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instrument for procurement rule assignment (all projects use DBB lowest-bid — no variation in rule). Cannot identify causal effect of procurement architecture per se vs. contractor opportunism. No design-quality measure at project appraisal.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Vermont Agency of Transportation administrative data: all highway and bridge contracts awarded 2004–2009; item-level bid schedules; change order records with dollar values and reasons.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Vermont state only; 2004–2009; highway and bridge works only; federally funded projects (FHWA oversight).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single agency, single US state.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project type (highway vs. bridge); by firm size (top contractors vs. others); by project complexity (small vs. large).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Brandon (2025) operationalises pre-award design quality (QE) across 12,328 World Bank projects — the design-quality variable Sicotte et al. lack entirely. OR=27.8 provides the causal magnitude absent from highway-only, single-country analyses.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 eighty percent of highway and bridge projects have change orders. On average, change orders increase the costs of a project by eight percent … evidence strongly suggests that contractors correctly anticipate items that will later be subject to change orders, and adjust their bids accordingly.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PA-02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Giuffrida &amp; Rovigatti (2018)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discontinuity design (RDD) on statutory thresholds for public oversight ($150k) and private performance bond ($100k) requirements for U.S. federal service contracts. Local linear regression; bandwidth selected by MSE-optimal methods (Calonico-Cattaneo-Titiunik). Separate first-stage for each oversight type.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Exogenous variation in oversight application driven by dollar-value thresholds: contracts just above threshold face oversight; contracts just below do not. Thresholds are statutory, not chosen by contracting officers. Validates no density manipulation at cutoff (McCrary test).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value (running variable); contract type; agency fixed effects; fiscal year; competition intensity (number of offerors); NAICS sector code; contractor size.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(contracting office) FE; NAICS sector FE; fiscal year FE.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Heteroskedasticity-robust; clustered at agency level for sensitivity checks.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oversight (performance bond): −8.3% on cost overrun, −12% on time overrun (both significant at 1%). Public oversight: +6.1% on cost overrun, +9% on time overrun — perversely increases costs via red tape.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Bandwidth sensitivity (±25%, ±50%); placebo thresholds; donut-hole RD excluding observations very close to cutoff; falsification using pre-treatment outcome trends; subsample by agency competence proxies.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average treatment effect — only identifies effect at the threshold margin. Red-tape mechanism requires assumption that buyer competence is indeed lower for contracts in public-oversight range.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pre-award design quality measure. Cannot separate design adequacy from execution oversight. RDD applies only to US service contracts — limited external validity to construction/development contexts. Sample restriction to service contracts excludes construction.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Procurement Data System (FPDS-NG): universe of US federal contracts 2005–2015 with dollar values, agency codes, NAICS, modification records (for cost/time overruns). Supplemented with USASpending.gov records.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federal service contracts 2005–2015; restricted to contracts near the two oversight thresholds; excludes construction (works) contracts; excludes classified/national security contracts.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US federal procurement only. No cross-country or development sector comparison.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buyer competence (proxied by agency procurement spending per officer); by service type; by contract duration; by competition intensity.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Brandon (2025) supplies the missing pre-award quality variable and shifts from domestic services to international development projects (World Bank portfolio). OR=27.8 shows design quality effect is an order of magnitude larger than the oversight effects Giuffrida &amp; Rovigatti isolate (~8% cost improvement), and operates across low/middle-income countries where buyer competence variation is greatest.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 price alone is a noisy performance metric when quality and execution risks matter … private oversight has a positive effect on outcomes through the screening of bidders that alters the pool of winning firms.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2E5694"/>
          <w:sz w:val="36"/>
          <w:szCs w:val="36"/>
        </w:rPr>
        <w:t xml:space="preserve">STREAM SUMMARY — Procurement Architecture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Screening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Papers Submitted</w:t>
            </w:r>
          </w:p>
        </w:tc>
        <w:tc>
          <w:tcPr>
            <w:tcW w:type="dxa" w:w="312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</w:t>
            </w:r>
          </w:p>
        </w:tc>
        <w:tc>
          <w:tcPr>
            <w:tcW w:type="dxa" w:w="312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EXCLUDED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 (PA-01, PA-02)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 (PA-03 through PA-07)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Stream Gap — Confirmed in One Sentence</w:t>
      </w:r>
    </w:p>
    <w:p>
      <w:pPr>
        <w:pBdr>
          <w:left w:val="thick" w:color="2E5694" w:sz="8" w:space="12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procurement architecture literature demonstrates that lowest-price, design-bid-build award rules systematically enable strategic renegotiation and cost overruns (Sicotte et al. 2013) and that oversight design causally shapes execution outcomes (Giuffrida &amp; Rovigatti 2018), yet no study has measured pre-award project design quality (QE) as the primary predictor, leaving unexplained why the procurement wedge remains large even when oversight is present — the gap Steve Brandon's OR=27.8 finding across 12,328 World Bank projects directly fills.</w:t>
      </w:r>
    </w:p>
    <w:p>
      <w:r>
        <w:rPr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Findings from Deep-Read Papers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100"/>
        <w:gridCol w:w="1800"/>
        <w:gridCol w:w="1860"/>
      </w:tblGrid>
      <w:tr>
        <w:tc>
          <w:tcPr>
            <w:tcW w:type="dxa" w:w="15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21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Finding</w:t>
            </w:r>
          </w:p>
        </w:tc>
        <w:tc>
          <w:tcPr>
            <w:tcW w:type="dxa" w:w="21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8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Brandon Advance</w:t>
            </w:r>
          </w:p>
        </w:tc>
        <w:tc>
          <w:tcPr>
            <w:tcW w:type="dxa" w:w="186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Quotable Stat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Sicotte et al. 2013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80%+ of projects have change orders averaging +8% cost increase; strategic bidding confirmed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Lowest-bid DBB enables item-price manipulation; top firms exploit renegotiation systematically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Brandon adds QE (design quality) — the pre-award variable Sicotte et al. lack; scales to global n=12,328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+8% average cost overrun via change orders; top contractor: +20pp change-order probability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Giuffrida &amp; Rovigatti 2018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oversight −8% cost, −12% time; public oversight +6% cost (red tape). Causal via RDD.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Bidder screening (performance bonds) improves outcome pool; buyer incompetence drives red-tape harm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Brandon shifts from oversight intensity to design quality (QE) — larger effect (OR=27.8) in lower-income settings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 price is a noisy performance metric when quality and execution risks matter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Top 3 Forward Citations to Chase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800"/>
        <w:gridCol w:w="3560"/>
        <w:gridCol w:w="2600"/>
      </w:tblGrid>
      <w:tr>
        <w:tc>
          <w:tcPr>
            <w:tcW w:type="dxa" w:w="4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 Target</w:t>
            </w:r>
          </w:p>
        </w:tc>
        <w:tc>
          <w:tcPr>
            <w:tcW w:type="dxa" w:w="8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Paper</w:t>
            </w:r>
          </w:p>
        </w:tc>
        <w:tc>
          <w:tcPr>
            <w:tcW w:type="dxa" w:w="356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Chase It</w:t>
            </w:r>
          </w:p>
        </w:tc>
        <w:tc>
          <w:tcPr>
            <w:tcW w:type="dxa" w:w="2600"/>
            <w:tcBorders>
              <w:top w:val="single" w:color="2E5694" w:sz="1"/>
              <w:left w:val="single" w:color="2E5694" w:sz="1"/>
              <w:bottom w:val="single" w:color="2E5694" w:sz="1"/>
              <w:right w:val="single" w:color="2E5694" w:sz="1"/>
            </w:tcBorders>
            <w:shd w:fill="2E5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String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Bajari, P., Houghton, S. &amp; Tadelis, S. (2014). Bidding for Incomplete Contracts: An Empirical Analysis of Adaptation Costs. American Economic Review, 104(4), 1288–1319.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Giuffrida &amp; Rovigatti 2018 (cited as key prior)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Seminal empirical paper on how incomplete contracts (analogous to incomplete project design/QE) drive adaptation costs. Directly links pre-award contract incompleteness to execution cost — the mechanism underlying OR=27.8. Will cite Giuffrida &amp; Rovigatti.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Bajari Houghton Tadelis 2014 incomplete contracts adaptation costs AER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Decarolis, F., Fisman, R., Pinotti, P. &amp; Vannutelli, S. (2024). Rules, Discretion, and Corruption in Procurement: Evidence from Italian Government Contracting. Journal of Political Economy, 132(2).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Decarolis &amp; Srhoj 2026 (survey cites Decarolis as foundational)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whether rule-based vs. discretionary procurement selection affects outcomes (cost, quality, corruption). Directly operationalises procurement architecture variation on project outcomes — forward-cites Giuffrida &amp; Rovigatti design. Largest recent empirical contribution to the stream.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Decarolis Fisman Pinotti procurement rules discretion corruption JPE 2024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Lewis, G. &amp; Bajari, P. (2011). Procurement Contracting with Time Incentives: Theory and Evidence. Quarterly Journal of Economics, 126(3), 1173–1211.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Giuffrida &amp; Rovigatti 2018; Decarolis &amp; Srhoj 2026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QJE paper on how contract design (time incentives, bonus/malus) affects delivery outcomes on highway projects — the closest analogue to QE as a design-quality instrument. Highly cited; forward citations likely contain World Bank/development applications.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Lewis Bajari procurement time incentives theory evidence QJE 2011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Copy-Paste Ready Output — Synthesis Project Integration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8FD" w:val="clear"/>
        <w:spacing w:before="80" w:after="80"/>
        <w:ind w:left="180" w:right="1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STREAM: Procurement Architecture | INCLUDED: 2 | EXCLUDED: 5
LITERATURE ESTABLISHED: The procurement architecture literature confirms that (1) lowest-price design-bid-build rules systematically incentivise strategic renegotiation, inflating delivery costs by ~8% on average (Sicotte et al. 2013), and (2) oversight design — particularly private screening mechanisms — causally improves execution outcomes by reducing adverse selection in the contractor pool (Giuffrida &amp; Rovigatti 2018, RDD). A leading 2026 survey explicitly identifies quality-adjusted, project-level procurement performance as the primary evidence gap (Decarolis &amp; Srhoj 2026).
GAP LEFT: No study has measured pre-award project design quality (QE) as a predictor of development project outcomes across a large, multi-country portfolio. Existing work uses single-country samples, focuses on oversight intensity rather than design quality, and lacks a design-quality instrument.
STEVE'S ADVANCE: Brandon (2025) operationalises QE across n=12,328 World Bank projects and reports OR=27.8, demonstrating that design quality at project entry predicts outcome success with an effect magnitude an order of magnitude larger than any procurement-oversight effect in the literature. This fills the exact gap the stream identifies.
KEY QUOTES FOR PAPER:
• 'Over eighty percent of highway and bridge projects have change orders. On average, change orders increase the costs of a project by eight percent.' — Sicotte et al. (2013, p. ES-1)
• 'Award price alone is a noisy performance metric when quality and execution risks matter.' — Giuffrida &amp; Rovigatti (2018, Abstract)
• 'The public procurement wedge is often large … research priorities include a cumulative What Works for Public Procurement evidence base.' — Decarolis &amp; Srhoj (2026, Abstract)</w:t>
      </w:r>
    </w:p>
    <w:p>
      <w:r>
        <w:rPr>
          <w:sz w:val="20"/>
          <w:szCs w:val="20"/>
        </w:rP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Document generated: February 2026 | Coder: Claude (Anthropic) | Supervised by: Steve Brandon, PhD Candidate QUT/Griffith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569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2026-02-23T03:46:30.901Z</dcterms:created>
  <dcterms:modified xsi:type="dcterms:W3CDTF">2026-02-23T03:46:30.902Z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