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79"/>
          <w:sz w:val="44"/>
          <w:szCs w:val="44"/>
        </w:rPr>
        <w:t xml:space="preserve">Political Economy of Infrastructure Approval</w:t>
      </w:r>
    </w:p>
    <w:p>
      <w:pPr>
        <w:jc w:val="center"/>
      </w:pPr>
      <w:r>
        <w:rPr>
          <w:rFonts w:ascii="Arial" w:cs="Arial" w:eastAsia="Arial" w:hAnsi="Arial"/>
          <w:b/>
          <w:bCs/>
          <w:color w:val="2E75B6"/>
          <w:sz w:val="26"/>
          <w:szCs w:val="26"/>
        </w:rPr>
        <w:t xml:space="preserve">Systematic Literature Coding — Synthesis Project Output</w:t>
      </w:r>
    </w:p>
    <w:p>
      <w:pPr>
        <w:jc w:val="center"/>
      </w:pPr>
      <w:r>
        <w:rPr>
          <w:rFonts w:ascii="Arial" w:cs="Arial" w:eastAsia="Arial" w:hAnsi="Arial"/>
          <w:color w:val="666666"/>
          <w:sz w:val="20"/>
          <w:szCs w:val="20"/>
        </w:rPr>
        <w:t xml:space="preserve">Steve Brandon | PhD Candidate QUT/Griffith | Prepared 23 February 2026</w:t>
      </w:r>
    </w:p>
    <w:p>
      <w:r>
        <w:rPr>
          <w:rFonts w:ascii="Arial" w:cs="Arial" w:eastAsia="Arial" w:hAnsi="Arial"/>
          <w:b w:val="false"/>
          <w:bCs w:val="false"/>
          <w:color w:val="000000"/>
          <w:sz w:val="20"/>
          <w:szCs w:val="20"/>
        </w:rPr>
        <w:t xml:space="preserve"/>
      </w:r>
    </w:p>
    <w:p>
      <w:r>
        <w:rPr>
          <w:rFonts w:ascii="Arial" w:cs="Arial" w:eastAsia="Arial" w:hAnsi="Arial"/>
          <w:color w:val="444444"/>
          <w:sz w:val="18"/>
          <w:szCs w:val="18"/>
        </w:rPr>
        <w:t xml:space="preserve">Research Context: OR=27.8 showing development project design quality (QE) predicts outcomes across 12,328 World Bank projects. This stream review reverse-engineers the Literature → Gap → Question → Model → Data → Result justification chain.</w:t>
      </w:r>
    </w:p>
    <w:p>
      <w:r>
        <w:rPr>
          <w:rFonts w:ascii="Arial" w:cs="Arial" w:eastAsia="Arial" w:hAnsi="Arial"/>
          <w:b w:val="false"/>
          <w:bCs w:val="false"/>
          <w:color w:val="000000"/>
          <w:sz w:val="20"/>
          <w:szCs w:val="20"/>
        </w:rPr>
        <w:t xml:space="preserve"/>
      </w:r>
    </w:p>
    <w:p>
      <w:pPr>
        <w:pStyle w:val="Heading1"/>
      </w:pPr>
      <w:r>
        <w:rPr>
          <w:rFonts w:ascii="Arial" w:cs="Arial" w:eastAsia="Arial" w:hAnsi="Arial"/>
          <w:b/>
          <w:bCs/>
          <w:color w:val="1F4E79"/>
          <w:sz w:val="32"/>
          <w:szCs w:val="32"/>
        </w:rPr>
        <w:t xml:space="preserve">INCLUSION SCREENING SUMMARY</w:t>
      </w:r>
    </w:p>
    <w:p>
      <w:r>
        <w:rPr>
          <w:rFonts w:ascii="Arial" w:cs="Arial" w:eastAsia="Arial" w:hAnsi="Arial"/>
          <w:b w:val="false"/>
          <w:bCs w:val="false"/>
          <w:color w:val="000000"/>
          <w:sz w:val="20"/>
          <w:szCs w:val="20"/>
        </w:rPr>
        <w:t xml:space="preserve"/>
      </w:r>
    </w:p>
    <w:p>
      <w:r>
        <w:rPr>
          <w:rFonts w:ascii="Arial" w:cs="Arial" w:eastAsia="Arial" w:hAnsi="Arial"/>
          <w:b/>
          <w:bCs/>
          <w:sz w:val="20"/>
          <w:szCs w:val="20"/>
        </w:rPr>
        <w:t xml:space="preserve">n INCLUDED: </w:t>
      </w:r>
      <w:r>
        <w:rPr>
          <w:rFonts w:ascii="Arial" w:cs="Arial" w:eastAsia="Arial" w:hAnsi="Arial"/>
          <w:sz w:val="20"/>
          <w:szCs w:val="20"/>
        </w:rPr>
        <w:t xml:space="preserve">3   </w:t>
      </w:r>
      <w:r>
        <w:rPr>
          <w:rFonts w:ascii="Arial" w:cs="Arial" w:eastAsia="Arial" w:hAnsi="Arial"/>
          <w:b/>
          <w:bCs/>
          <w:sz w:val="20"/>
          <w:szCs w:val="20"/>
        </w:rPr>
        <w:t xml:space="preserve">n EXCLUDED: </w:t>
      </w:r>
      <w:r>
        <w:rPr>
          <w:rFonts w:ascii="Arial" w:cs="Arial" w:eastAsia="Arial" w:hAnsi="Arial"/>
          <w:sz w:val="20"/>
          <w:szCs w:val="20"/>
        </w:rPr>
        <w:t xml:space="preserve">2</w:t>
      </w:r>
    </w:p>
    <w:p>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700"/>
        <w:gridCol w:w="516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Paper</w:t>
            </w:r>
          </w:p>
        </w:tc>
        <w:tc>
          <w:tcPr>
            <w:tcW w:type="dxa" w:w="1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Authors / Year</w:t>
            </w:r>
          </w:p>
        </w:tc>
        <w:tc>
          <w:tcPr>
            <w:tcW w:type="dxa" w:w="7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Decision</w:t>
            </w:r>
          </w:p>
        </w:tc>
        <w:tc>
          <w:tcPr>
            <w:tcW w:type="dxa" w:w="5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Reason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P01 — Machiavellian Megaprojects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Flyvbjerg 2005 (Antipode)</w:t>
            </w:r>
          </w:p>
        </w:tc>
        <w:tc>
          <w:tcPr>
            <w:tcW w:type="dxa" w:w="700"/>
            <w:tcBorders>
              <w:top w:val="single" w:color="AAAAAA" w:sz="1"/>
              <w:left w:val="single" w:color="AAAAAA" w:sz="1"/>
              <w:bottom w:val="single" w:color="AAAAAA" w:sz="1"/>
              <w:right w:val="single" w:color="AAAAAA" w:sz="1"/>
            </w:tcBorders>
            <w:shd w:fill="D9F0D9" w:val="clear"/>
            <w:tcMar>
              <w:top w:type="dxa" w:w="60"/>
              <w:left w:type="dxa" w:w="120"/>
              <w:bottom w:type="dxa" w:w="60"/>
              <w:right w:type="dxa" w:w="120"/>
            </w:tcMar>
            <w:vAlign w:val="top"/>
          </w:tcPr>
          <w:p>
            <w:r>
              <w:rPr>
                <w:rFonts w:ascii="Arial" w:cs="Arial" w:eastAsia="Arial" w:hAnsi="Arial"/>
                <w:color w:val="000000"/>
                <w:sz w:val="16"/>
                <w:szCs w:val="16"/>
              </w:rPr>
              <w:t xml:space="preserve">INCLUDE</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Quantitative outcomes (cost overrun rates, benefit shortfalls) from ~300-project survey; explicit causal claim (strategic misrepresentation → approval → overrun); multi-country; peer-reviewed journal.</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P02 — Design by Deception</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Flyvbjerg 2005 (Harvard Design Magazine)</w:t>
            </w:r>
          </w:p>
        </w:tc>
        <w:tc>
          <w:tcPr>
            <w:tcW w:type="dxa" w:w="700"/>
            <w:tcBorders>
              <w:top w:val="single" w:color="AAAAAA" w:sz="1"/>
              <w:left w:val="single" w:color="AAAAAA" w:sz="1"/>
              <w:bottom w:val="single" w:color="AAAAAA" w:sz="1"/>
              <w:right w:val="single" w:color="AAAAAA" w:sz="1"/>
            </w:tcBorders>
            <w:shd w:fill="D9F0D9" w:val="clear"/>
            <w:tcMar>
              <w:top w:type="dxa" w:w="60"/>
              <w:left w:type="dxa" w:w="120"/>
              <w:bottom w:type="dxa" w:w="60"/>
              <w:right w:type="dxa" w:w="120"/>
            </w:tcMar>
            <w:vAlign w:val="top"/>
          </w:tcPr>
          <w:p>
            <w:r>
              <w:rPr>
                <w:rFonts w:ascii="Arial" w:cs="Arial" w:eastAsia="Arial" w:hAnsi="Arial"/>
                <w:color w:val="000000"/>
                <w:sz w:val="16"/>
                <w:szCs w:val="16"/>
              </w:rPr>
              <w:t xml:space="preserve">INCLUDE</w:t>
            </w:r>
          </w:p>
        </w:tc>
        <w:tc>
          <w:tcPr>
            <w:tcW w:type="dxa" w:w="5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Quantitative cross-tabulation (34/40 projects biased in same direction); causal mechanism formalised; 300-project survey + 40-project subsample; credible policy magazine with peer-reviewed backing.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P03 — Truth and Lies About Megaprojects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Flyvbjerg 2007 (TU Delft Inaugural)</w:t>
            </w:r>
          </w:p>
        </w:tc>
        <w:tc>
          <w:tcPr>
            <w:tcW w:type="dxa" w:w="700"/>
            <w:tcBorders>
              <w:top w:val="single" w:color="AAAAAA" w:sz="1"/>
              <w:left w:val="single" w:color="AAAAAA" w:sz="1"/>
              <w:bottom w:val="single" w:color="AAAAAA" w:sz="1"/>
              <w:right w:val="single" w:color="AAAAAA" w:sz="1"/>
            </w:tcBorders>
            <w:shd w:fill="D9F0D9" w:val="clear"/>
            <w:tcMar>
              <w:top w:type="dxa" w:w="60"/>
              <w:left w:type="dxa" w:w="120"/>
              <w:bottom w:type="dxa" w:w="60"/>
              <w:right w:type="dxa" w:w="120"/>
            </w:tcMar>
            <w:vAlign w:val="top"/>
          </w:tcPr>
          <w:p>
            <w:r>
              <w:rPr>
                <w:rFonts w:ascii="Arial" w:cs="Arial" w:eastAsia="Arial" w:hAnsi="Arial"/>
                <w:color w:val="000000"/>
                <w:sz w:val="16"/>
                <w:szCs w:val="16"/>
              </w:rPr>
              <w:t xml:space="preserve">INCLUDE</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Statistical significance tests on distributional bias; 258-project dataset; quantitative cost overrun and traffic demand tables; credible working paper citing peer-reviewed JAPA sources.</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PLAN98852OTHERSTUNC — Tasarımla Aldatmak</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Tunç 2014 (Planlama)</w:t>
            </w:r>
          </w:p>
        </w:tc>
        <w:tc>
          <w:tcPr>
            <w:tcW w:type="dxa" w:w="700"/>
            <w:tcBorders>
              <w:top w:val="single" w:color="AAAAAA" w:sz="1"/>
              <w:left w:val="single" w:color="AAAAAA" w:sz="1"/>
              <w:bottom w:val="single" w:color="AAAAAA" w:sz="1"/>
              <w:right w:val="single" w:color="AAAAAA" w:sz="1"/>
            </w:tcBorders>
            <w:shd w:fill="FFDDD9" w:val="clear"/>
            <w:tcMar>
              <w:top w:type="dxa" w:w="60"/>
              <w:left w:type="dxa" w:w="120"/>
              <w:bottom w:type="dxa" w:w="60"/>
              <w:right w:type="dxa" w:w="120"/>
            </w:tcMar>
            <w:vAlign w:val="top"/>
          </w:tcPr>
          <w:p>
            <w:r>
              <w:rPr>
                <w:rFonts w:ascii="Arial" w:cs="Arial" w:eastAsia="Arial" w:hAnsi="Arial"/>
                <w:color w:val="000000"/>
                <w:sz w:val="16"/>
                <w:szCs w:val="16"/>
              </w:rPr>
              <w:t xml:space="preserve">EXCLUDE</w:t>
            </w:r>
          </w:p>
        </w:tc>
        <w:tc>
          <w:tcPr>
            <w:tcW w:type="dxa" w:w="5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Turkish translation of P02 (Flyvbjerg 2005 HDM). No new data or analysis. Excluded as duplicate.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The_absurdishing — The absurd as normal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Clegg 2025 (IJMPB)</w:t>
            </w:r>
          </w:p>
        </w:tc>
        <w:tc>
          <w:tcPr>
            <w:tcW w:type="dxa" w:w="700"/>
            <w:tcBorders>
              <w:top w:val="single" w:color="AAAAAA" w:sz="1"/>
              <w:left w:val="single" w:color="AAAAAA" w:sz="1"/>
              <w:bottom w:val="single" w:color="AAAAAA" w:sz="1"/>
              <w:right w:val="single" w:color="AAAAAA" w:sz="1"/>
            </w:tcBorders>
            <w:shd w:fill="FFDDD9" w:val="clear"/>
            <w:tcMar>
              <w:top w:type="dxa" w:w="60"/>
              <w:left w:type="dxa" w:w="120"/>
              <w:bottom w:type="dxa" w:w="60"/>
              <w:right w:type="dxa" w:w="120"/>
            </w:tcMar>
            <w:vAlign w:val="top"/>
          </w:tcPr>
          <w:p>
            <w:r>
              <w:rPr>
                <w:rFonts w:ascii="Arial" w:cs="Arial" w:eastAsia="Arial" w:hAnsi="Arial"/>
                <w:color w:val="000000"/>
                <w:sz w:val="16"/>
                <w:szCs w:val="16"/>
              </w:rPr>
              <w:t xml:space="preserve">EXCLUDE</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Purely conceptual/theoretical paper. n=0 project-level observations. No quantitative outcome or regression/causal model using project data.</w:t>
            </w:r>
          </w:p>
        </w:tc>
      </w:tr>
    </w:tbl>
    <w:p>
      <w:r>
        <w:rPr>
          <w:rFonts w:ascii="Arial" w:cs="Arial" w:eastAsia="Arial" w:hAnsi="Arial"/>
          <w:b w:val="false"/>
          <w:bCs w:val="false"/>
          <w:color w:val="000000"/>
          <w:sz w:val="20"/>
          <w:szCs w:val="20"/>
        </w:rPr>
        <w:t xml:space="preserve"/>
      </w:r>
    </w:p>
    <w:p>
      <w:r>
        <w:rPr>
          <w:rFonts w:ascii="Arial" w:cs="Arial" w:eastAsia="Arial" w:hAnsi="Arial"/>
          <w:b w:val="false"/>
          <w:bCs w:val="false"/>
          <w:color w:val="000000"/>
          <w:sz w:val="20"/>
          <w:szCs w:val="20"/>
        </w:rPr>
        <w:t xml:space="preserve"/>
      </w:r>
    </w:p>
    <w:p>
      <w:pPr>
        <w:pStyle w:val="Heading1"/>
      </w:pPr>
      <w:r>
        <w:rPr>
          <w:rFonts w:ascii="Arial" w:cs="Arial" w:eastAsia="Arial" w:hAnsi="Arial"/>
          <w:b/>
          <w:bCs/>
          <w:color w:val="1F4E79"/>
          <w:sz w:val="32"/>
          <w:szCs w:val="32"/>
        </w:rPr>
        <w:t xml:space="preserve">TAB A — ALL INCLUDED PAPERS (17 Fields)</w:t>
      </w:r>
    </w:p>
    <w:p>
      <w:r>
        <w:rPr>
          <w:rFonts w:ascii="Arial" w:cs="Arial" w:eastAsia="Arial" w:hAnsi="Arial"/>
          <w:b w:val="false"/>
          <w:bCs w:val="false"/>
          <w:color w:val="666666"/>
          <w:sz w:val="18"/>
          <w:szCs w:val="18"/>
        </w:rPr>
        <w:t xml:space="preserve">Note: Excluded papers shown at bottom of table in yellow/orange shading for completeness.</w:t>
      </w:r>
    </w:p>
    <w:p>
      <w:r>
        <w:rPr>
          <w:rFonts w:ascii="Arial" w:cs="Arial" w:eastAsia="Arial" w:hAnsi="Arial"/>
          <w:b w:val="false"/>
          <w:bCs w:val="false"/>
          <w:color w:val="000000"/>
          <w:sz w:val="20"/>
          <w:szCs w:val="20"/>
        </w:rPr>
        <w:t xml:space="preserve"/>
      </w:r>
    </w:p>
    <w:tbl>
      <w:tblPr>
        <w:tblW w:type="dxa" w:w="137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380"/>
        <w:gridCol w:w="1200"/>
        <w:gridCol w:w="900"/>
        <w:gridCol w:w="800"/>
        <w:gridCol w:w="1100"/>
        <w:gridCol w:w="800"/>
        <w:gridCol w:w="800"/>
        <w:gridCol w:w="750"/>
        <w:gridCol w:w="800"/>
        <w:gridCol w:w="430"/>
        <w:gridCol w:w="1200"/>
        <w:gridCol w:w="1100"/>
        <w:gridCol w:w="600"/>
        <w:gridCol w:w="450"/>
        <w:gridCol w:w="990"/>
      </w:tblGrid>
      <w:tr>
        <w:trPr>
          <w:tblHeader/>
        </w:trPr>
        <w:tc>
          <w:tcPr>
            <w:tcW w:type="dxa" w:w="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Paper_ID</w:t>
            </w:r>
          </w:p>
        </w:tc>
        <w:tc>
          <w:tcPr>
            <w:tcW w:type="dxa" w:w="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Authors</w:t>
            </w:r>
          </w:p>
        </w:tc>
        <w:tc>
          <w:tcPr>
            <w:tcW w:type="dxa" w:w="3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Year</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Title</w:t>
            </w:r>
          </w:p>
        </w:tc>
        <w:tc>
          <w:tcPr>
            <w:tcW w:type="dxa" w:w="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Journal</w:t>
            </w:r>
          </w:p>
        </w:tc>
        <w:tc>
          <w:tcPr>
            <w:tcW w:type="dxa" w:w="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Stream</w:t>
            </w:r>
          </w:p>
        </w:tc>
        <w:tc>
          <w:tcPr>
            <w:tcW w:type="dxa" w:w="11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Research_Question</w:t>
            </w:r>
          </w:p>
        </w:tc>
        <w:tc>
          <w:tcPr>
            <w:tcW w:type="dxa" w:w="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Outcome_Variable</w:t>
            </w:r>
          </w:p>
        </w:tc>
        <w:tc>
          <w:tcPr>
            <w:tcW w:type="dxa" w:w="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Main_Predictor</w:t>
            </w:r>
          </w:p>
        </w:tc>
        <w:tc>
          <w:tcPr>
            <w:tcW w:type="dxa" w:w="75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Model_Type</w:t>
            </w:r>
          </w:p>
        </w:tc>
        <w:tc>
          <w:tcPr>
            <w:tcW w:type="dxa" w:w="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Dataset</w:t>
            </w:r>
          </w:p>
        </w:tc>
        <w:tc>
          <w:tcPr>
            <w:tcW w:type="dxa" w:w="43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n_Projects</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Key_Finding</w:t>
            </w:r>
          </w:p>
        </w:tc>
        <w:tc>
          <w:tcPr>
            <w:tcW w:type="dxa" w:w="11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Gap_They_Left</w:t>
            </w:r>
          </w:p>
        </w:tc>
        <w:tc>
          <w:tcPr>
            <w:tcW w:type="dxa" w:w="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Relevant_to_RQ</w:t>
            </w:r>
          </w:p>
        </w:tc>
        <w:tc>
          <w:tcPr>
            <w:tcW w:type="dxa" w:w="45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Deep_Read</w:t>
            </w:r>
          </w:p>
        </w:tc>
        <w:tc>
          <w:tcPr>
            <w:tcW w:type="dxa" w:w="99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Notes</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P01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Flyvbjerg, B.</w:t>
            </w:r>
          </w:p>
        </w:tc>
        <w:tc>
          <w:tcPr>
            <w:tcW w:type="dxa" w:w="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2005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Machiavellian Megaprojects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Antipode 37(1):18-22</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Political Economy of Infrastructure Approval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Which projects get built and why do they systematically underperform their ex-ante forecasts?</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Project approval outcome; cost overrun; benefit shortfall</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Strategic misrepresentation of costs and benefits at appraisal stage</w:t>
            </w:r>
          </w:p>
        </w:tc>
        <w:tc>
          <w:tcPr>
            <w:tcW w:type="dxa" w:w="7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Descriptive statistics + political economy causal narrative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Author's survey of large public works, 20+ countries, ~300 projects</w:t>
            </w:r>
          </w:p>
        </w:tc>
        <w:tc>
          <w:tcPr>
            <w:tcW w:type="dxa" w:w="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~300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9/10 projects have post-approval cost overruns. Machiavellian formula (underestimated costs + overestimated benefits) drives 'survival of the unfittest.' Cost overruns of 50%+ common; &gt;100% not uncommon.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No econometric test of approval mechanism; no controls for governance or institutional quality; cannot quantify which design-stage factors predict magnitude of overrun.</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HIGH – documents political manipulation of appraisal that QE rating is designed to detect</w:t>
            </w:r>
          </w:p>
        </w:tc>
        <w:tc>
          <w:tcPr>
            <w:tcW w:type="dxa" w:w="4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Yes</w:t>
            </w:r>
          </w:p>
        </w:tc>
        <w:tc>
          <w:tcPr>
            <w:tcW w:type="dxa" w:w="99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Antipode essay version of Harvard Design Magazine article. Largely same dataset as P02. No regression model.</w:t>
            </w:r>
          </w:p>
        </w:tc>
      </w:tr>
      <w:tr>
        <w:tc>
          <w:tcPr>
            <w:tcW w:type="dxa" w:w="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P02</w:t>
            </w:r>
          </w:p>
        </w:tc>
        <w:tc>
          <w:tcPr>
            <w:tcW w:type="dxa" w:w="9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Flyvbjerg, B.</w:t>
            </w:r>
          </w:p>
        </w:tc>
        <w:tc>
          <w:tcPr>
            <w:tcW w:type="dxa" w:w="3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2005</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Design by Deception: The Politics of Megaproject Approval</w:t>
            </w:r>
          </w:p>
        </w:tc>
        <w:tc>
          <w:tcPr>
            <w:tcW w:type="dxa" w:w="9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Harvard Design Magazine No. 22, pp. 50-59 (SSRN 2238047)</w:t>
            </w:r>
          </w:p>
        </w:tc>
        <w:tc>
          <w:tcPr>
            <w:tcW w:type="dxa" w:w="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Political Economy of Infrastructure Approval</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How do project proponents manipulate cost-benefit analysis to secure approval, and what are the consequences for project performance?</w:t>
            </w:r>
          </w:p>
        </w:tc>
        <w:tc>
          <w:tcPr>
            <w:tcW w:type="dxa" w:w="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Project approval; cost overrun; benefit (revenue) shortfall</w:t>
            </w:r>
          </w:p>
        </w:tc>
        <w:tc>
          <w:tcPr>
            <w:tcW w:type="dxa" w:w="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Deliberate cost underestimation and benefit overestimation by promoters</w:t>
            </w:r>
          </w:p>
        </w:tc>
        <w:tc>
          <w:tcPr>
            <w:tcW w:type="dxa" w:w="75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Cross-tabulation of cost vs. revenue errors; descriptive statistics; qualitative case studies (Bilbao vs. Sydney)</w:t>
            </w:r>
          </w:p>
        </w:tc>
        <w:tc>
          <w:tcPr>
            <w:tcW w:type="dxa" w:w="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300-project survey (20 countries); 40-project subsample with matched cost + revenue data</w:t>
            </w:r>
          </w:p>
        </w:tc>
        <w:tc>
          <w:tcPr>
            <w:tcW w:type="dxa" w:w="43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300 / 40</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In 34/40 projects costs were underestimated AND benefits overestimated &gt;20%; only 1/40 reversed. Only 5/40 within ±20% on both. Strong evidence of systematic, non-random bias consistent with strategic misrepresentation.</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No regression or counterfactual model; does not test what design-stage or institutional factors determine magnitude of misrepresentation; no test of governance moderators.</w:t>
            </w:r>
          </w:p>
        </w:tc>
        <w:tc>
          <w:tcPr>
            <w:tcW w:type="dxa" w:w="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HIGH – canonical formulation of political economy of approval; directly motivates QE as a pre-approval quality signal</w:t>
            </w:r>
          </w:p>
        </w:tc>
        <w:tc>
          <w:tcPr>
            <w:tcW w:type="dxa" w:w="45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Yes</w:t>
            </w:r>
          </w:p>
        </w:tc>
        <w:tc>
          <w:tcPr>
            <w:tcW w:type="dxa" w:w="99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top"/>
          </w:tcPr>
          <w:p>
            <w:r>
              <w:rPr>
                <w:rFonts w:ascii="Arial" w:cs="Arial" w:eastAsia="Arial" w:hAnsi="Arial"/>
                <w:color w:val="000000"/>
                <w:sz w:val="16"/>
                <w:szCs w:val="16"/>
              </w:rPr>
              <w:t xml:space="preserve">Canonical Harvard Design Magazine source. 40-project subsample is key empirical anchor. Same broader survey as P01.</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P03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Flyvbjerg, B.</w:t>
            </w:r>
          </w:p>
        </w:tc>
        <w:tc>
          <w:tcPr>
            <w:tcW w:type="dxa" w:w="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2007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Truth and Lies About Megaprojects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Inaugural Lecture, TU Delft / SSRN 2278262</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Political Economy of Infrastructure Approval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What are the causes and scale of cost-overrun and benefit-shortfall in megaprojects, and what governance reforms can address them?</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Cost overrun % (constant prices); traffic demand inaccuracy %</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Optimism bias; strategic misrepresentation; level of political-organizational pressure</w:t>
            </w:r>
          </w:p>
        </w:tc>
        <w:tc>
          <w:tcPr>
            <w:tcW w:type="dxa" w:w="7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Descriptive statistics by project type; significance tests on distributional bias; causal mechanism analysis (Fig. 1); reference class forecasting methodology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258 transport projects worldwide (rail n=58, bridges/tunnels n=33, roads n=167); traffic demand: rail n=25, roads n=183; 20 nations, 5 continents</w:t>
            </w:r>
          </w:p>
        </w:tc>
        <w:tc>
          <w:tcPr>
            <w:tcW w:type="dxa" w:w="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258 / 208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Rail avg. cost overrun 44.7% (SD 38.4); bridges/tunnels 33.8% (SD 62.4); roads 20.4% (SD 29.9). 9/10 projects have overrun. Rail traffic shortfall avg. 51.4%. Overruns constant over 70 years. Distributions statistically significantly biased from zero, rejecting technical error explanation.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No project-level regression on determinants of overrun magnitude; no formal test of political pressure variable; no control for project design quality, governance, or sector; no cross-institutional comparison.</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HIGH – provides the multi-country statistical foundation that your QE predictor is positioned to extend causally</w:t>
            </w:r>
          </w:p>
        </w:tc>
        <w:tc>
          <w:tcPr>
            <w:tcW w:type="dxa" w:w="4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Yes</w:t>
            </w:r>
          </w:p>
        </w:tc>
        <w:tc>
          <w:tcPr>
            <w:tcW w:type="dxa" w:w="99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color w:val="000000"/>
                <w:sz w:val="16"/>
                <w:szCs w:val="16"/>
              </w:rPr>
              <w:t xml:space="preserve">Inaugural speech – credible working paper. Draws on peer-reviewed JAPA articles (Flyvbjerg, Holm &amp; Buhl 2002, 2005). Most methodologically detailed of the three.</w:t>
            </w:r>
          </w:p>
        </w:tc>
      </w:tr>
      <w:tr>
        <w:tc>
          <w:tcPr>
            <w:tcW w:type="dxa" w:w="5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PLAN98852OTHERSTUNC</w:t>
            </w:r>
          </w:p>
        </w:tc>
        <w:tc>
          <w:tcPr>
            <w:tcW w:type="dxa" w:w="9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Tunç, G. (translator)</w:t>
            </w:r>
          </w:p>
        </w:tc>
        <w:tc>
          <w:tcPr>
            <w:tcW w:type="dxa" w:w="38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2014</w:t>
            </w:r>
          </w:p>
        </w:tc>
        <w:tc>
          <w:tcPr>
            <w:tcW w:type="dxa" w:w="12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Tasarımla Aldatmak: Megaproje Kabullerinin Ardındaki Siyaset [Design by Deception — Turkish translation]</w:t>
            </w:r>
          </w:p>
        </w:tc>
        <w:tc>
          <w:tcPr>
            <w:tcW w:type="dxa" w:w="9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Planlama 24(1):10-17</w:t>
            </w:r>
          </w:p>
        </w:tc>
        <w:tc>
          <w:tcPr>
            <w:tcW w:type="dxa" w:w="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EXCLUDED</w:t>
            </w:r>
          </w:p>
        </w:tc>
        <w:tc>
          <w:tcPr>
            <w:tcW w:type="dxa" w:w="11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Translation of Flyvbjerg 2005 HDM. Identical content to P02.</w:t>
            </w:r>
          </w:p>
        </w:tc>
        <w:tc>
          <w:tcPr>
            <w:tcW w:type="dxa" w:w="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w:t>
            </w:r>
          </w:p>
        </w:tc>
        <w:tc>
          <w:tcPr>
            <w:tcW w:type="dxa" w:w="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w:t>
            </w:r>
          </w:p>
        </w:tc>
        <w:tc>
          <w:tcPr>
            <w:tcW w:type="dxa" w:w="75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w:t>
            </w:r>
          </w:p>
        </w:tc>
        <w:tc>
          <w:tcPr>
            <w:tcW w:type="dxa" w:w="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w:t>
            </w:r>
          </w:p>
        </w:tc>
        <w:tc>
          <w:tcPr>
            <w:tcW w:type="dxa" w:w="43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w:t>
            </w:r>
          </w:p>
        </w:tc>
        <w:tc>
          <w:tcPr>
            <w:tcW w:type="dxa" w:w="12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Same as P02.</w:t>
            </w:r>
          </w:p>
        </w:tc>
        <w:tc>
          <w:tcPr>
            <w:tcW w:type="dxa" w:w="11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w:t>
            </w:r>
          </w:p>
        </w:tc>
        <w:tc>
          <w:tcPr>
            <w:tcW w:type="dxa" w:w="6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N/A</w:t>
            </w:r>
          </w:p>
        </w:tc>
        <w:tc>
          <w:tcPr>
            <w:tcW w:type="dxa" w:w="45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No</w:t>
            </w:r>
          </w:p>
        </w:tc>
        <w:tc>
          <w:tcPr>
            <w:tcW w:type="dxa" w:w="99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top"/>
          </w:tcPr>
          <w:p>
            <w:r>
              <w:rPr>
                <w:rFonts w:ascii="Arial" w:cs="Arial" w:eastAsia="Arial" w:hAnsi="Arial"/>
                <w:color w:val="000000"/>
                <w:sz w:val="16"/>
                <w:szCs w:val="16"/>
              </w:rPr>
              <w:t xml:space="preserve">EXCLUDED: Duplicate — Turkish translation of P02. No new data or analysis.</w:t>
            </w:r>
          </w:p>
        </w:tc>
      </w:tr>
      <w:tr>
        <w:tc>
          <w:tcPr>
            <w:tcW w:type="dxa" w:w="50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The_absurdishing</w:t>
            </w:r>
          </w:p>
        </w:tc>
        <w:tc>
          <w:tcPr>
            <w:tcW w:type="dxa" w:w="90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Clegg, S.</w:t>
            </w:r>
          </w:p>
        </w:tc>
        <w:tc>
          <w:tcPr>
            <w:tcW w:type="dxa" w:w="38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2025</w:t>
            </w:r>
          </w:p>
        </w:tc>
        <w:tc>
          <w:tcPr>
            <w:tcW w:type="dxa" w:w="120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The absurd as normal: why megaprojects are decadent</w:t>
            </w:r>
          </w:p>
        </w:tc>
        <w:tc>
          <w:tcPr>
            <w:tcW w:type="dxa" w:w="90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Int. J. Managing Projects in Business 18(8):100-111</w:t>
            </w:r>
          </w:p>
        </w:tc>
        <w:tc>
          <w:tcPr>
            <w:tcW w:type="dxa" w:w="80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EXCLUDED</w:t>
            </w:r>
          </w:p>
        </w:tc>
        <w:tc>
          <w:tcPr>
            <w:tcW w:type="dxa" w:w="110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Why does the project management knowledge body fail to prevent repeated megaproject failures?</w:t>
            </w:r>
          </w:p>
        </w:tc>
        <w:tc>
          <w:tcPr>
            <w:tcW w:type="dxa" w:w="80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Megaproject failure (conceptual)</w:t>
            </w:r>
          </w:p>
        </w:tc>
        <w:tc>
          <w:tcPr>
            <w:tcW w:type="dxa" w:w="80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Decadence/ritual as latent function</w:t>
            </w:r>
          </w:p>
        </w:tc>
        <w:tc>
          <w:tcPr>
            <w:tcW w:type="dxa" w:w="75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Conceptual/theoretical</w:t>
            </w:r>
          </w:p>
        </w:tc>
        <w:tc>
          <w:tcPr>
            <w:tcW w:type="dxa" w:w="80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None – theoretical exercise drawing on anthropology &amp; philosophy of science</w:t>
            </w:r>
          </w:p>
        </w:tc>
        <w:tc>
          <w:tcPr>
            <w:tcW w:type="dxa" w:w="43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0</w:t>
            </w:r>
          </w:p>
        </w:tc>
        <w:tc>
          <w:tcPr>
            <w:tcW w:type="dxa" w:w="120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Project management resembles rituals whose latent function is legitimation not control. 'Fat tail' of failures indicates systemic decadence.</w:t>
            </w:r>
          </w:p>
        </w:tc>
        <w:tc>
          <w:tcPr>
            <w:tcW w:type="dxa" w:w="110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w:t>
            </w:r>
          </w:p>
        </w:tc>
        <w:tc>
          <w:tcPr>
            <w:tcW w:type="dxa" w:w="60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Moderate – critiques same system your OR=27.8 diagnoses; no empirical data</w:t>
            </w:r>
          </w:p>
        </w:tc>
        <w:tc>
          <w:tcPr>
            <w:tcW w:type="dxa" w:w="45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No</w:t>
            </w:r>
          </w:p>
        </w:tc>
        <w:tc>
          <w:tcPr>
            <w:tcW w:type="dxa" w:w="990"/>
            <w:tcBorders>
              <w:top w:val="single" w:color="AAAAAA" w:sz="1"/>
              <w:left w:val="single" w:color="AAAAAA" w:sz="1"/>
              <w:bottom w:val="single" w:color="AAAAAA" w:sz="1"/>
              <w:right w:val="single" w:color="AAAAAA" w:sz="1"/>
            </w:tcBorders>
            <w:shd w:fill="FDE9D9" w:val="clear"/>
            <w:tcMar>
              <w:top w:type="dxa" w:w="60"/>
              <w:left w:type="dxa" w:w="120"/>
              <w:bottom w:type="dxa" w:w="60"/>
              <w:right w:type="dxa" w:w="120"/>
            </w:tcMar>
            <w:vAlign w:val="top"/>
          </w:tcPr>
          <w:p>
            <w:r>
              <w:rPr>
                <w:rFonts w:ascii="Arial" w:cs="Arial" w:eastAsia="Arial" w:hAnsi="Arial"/>
                <w:color w:val="000000"/>
                <w:sz w:val="16"/>
                <w:szCs w:val="16"/>
              </w:rPr>
              <w:t xml:space="preserve">EXCLUDED: Purely conceptual, no quantitative data, n=0 project-level observations.</w:t>
            </w:r>
          </w:p>
        </w:tc>
      </w:tr>
    </w:tbl>
    <w:p>
      <w:r>
        <w:rPr>
          <w:rFonts w:ascii="Arial" w:cs="Arial" w:eastAsia="Arial" w:hAnsi="Arial"/>
          <w:b w:val="false"/>
          <w:bCs w:val="false"/>
          <w:color w:val="000000"/>
          <w:sz w:val="20"/>
          <w:szCs w:val="20"/>
        </w:rPr>
        <w:t xml:space="preserve"/>
      </w:r>
    </w:p>
    <w:p>
      <w:r>
        <w:rPr>
          <w:rFonts w:ascii="Arial" w:cs="Arial" w:eastAsia="Arial" w:hAnsi="Arial"/>
          <w:b w:val="false"/>
          <w:bCs w:val="false"/>
          <w:color w:val="000000"/>
          <w:sz w:val="20"/>
          <w:szCs w:val="20"/>
        </w:rPr>
        <w:t xml:space="preserve"/>
      </w:r>
    </w:p>
    <w:p>
      <w:pPr>
        <w:pStyle w:val="Heading1"/>
      </w:pPr>
      <w:r>
        <w:rPr>
          <w:rFonts w:ascii="Arial" w:cs="Arial" w:eastAsia="Arial" w:hAnsi="Arial"/>
          <w:b/>
          <w:bCs/>
          <w:color w:val="1F4E79"/>
          <w:sz w:val="32"/>
          <w:szCs w:val="32"/>
        </w:rPr>
        <w:t xml:space="preserve">TAB B — DEEP READ PAPERS (Deep_Read = Yes)</w:t>
      </w:r>
    </w:p>
    <w:p>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75B6"/>
          <w:sz w:val="26"/>
          <w:szCs w:val="26"/>
        </w:rPr>
        <w:t xml:space="preserve">Tab B — P01: Flyvbjerg (2005) — Antipode</w:t>
      </w:r>
    </w:p>
    <w:p>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Paper_ID</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P01</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Authors_Year</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Flyvbjerg (2005) — Antipode</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Model_Specification</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 regression equation. Descriptive statistics: frequency counts (9/10 projects have overruns), cost overrun percentages, and qualitative cross-project comparison. The 'model' is a causal narrative: strategic misrepresentation → project approval → post-approval overruns.</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Identification_Strategy</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Temporal stability argument: overruns constant for 70+ years, ruling out technical-error explanation. Bivariate cross-tabulation of cost vs. benefit errors. Qualitative interviews with planners (via Wachs 1989) as triangulation.</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Control_Variables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None formal. Mentions project type (transport vs. defence, dams, IT) and country informally.</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Fixed_Effects</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None.</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Standard_Errors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None reported.</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Main_Coefficient</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9/10 projects have cost overruns post-approval. Cost overruns of 50%+ are 'common'; overruns &gt;100% are 'not uncommon.' Rail: half of all projects have overruns ≥45%.</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Robustness_Tests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Coverage across 20+ countries and multiple project sectors cited as implicit robustness. 70-year temporal stability cited as evidence against random-error explanation.</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Bias_Acknowledged</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Author acknowledges deliberate strategic misrepresentation as main explanation but notes alternative 'optimism bias' interpretation exists. Acknowledges upper bound on survey size is vague ('several hundred').</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Bias_NOT_Addressed</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 sampling frame described — selection bias unknown. No counterfactual (what would have happened without misrepresentation). Survivorship bias (cancelled projects excluded). No control for project complexity, governance quality, or country income. Causal mechanism is argued but not identified econometrically.</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Data_Source_Detail</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Author's own survey of large public works projects; data collected over multiple years by Danish research team; primarily transport; exact N varies between '~300' and 'several hundred' in different versions of this paper.</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Sample_Restrictions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Large/mega public works, primarily transport. High-profile projects. 20+ countries.</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Cross_Institution</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20+ countries covered but no formal cross-national regression or institutional comparison.</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Heterogeneity_Tests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Rail vs. road mentioned (rail worse). No formal tests.</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Your_Advance</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Your OR=27.8 result operationalizes the pre-approval 'quality' signal (QE) that Flyvbjerg argues is systematically suppressed. You provide the first project-level logistic regression linking appraisal quality at design stage to outcomes across 12,328 World Bank projects — the econometric test Flyvbjerg's narrative calls for but cannot provide.</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Quote_For_Paper</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"Which projects get built? We found it isn't necessarily the best ones, but those projects for which proponents best succeed in conjuring a fantasy world of underestimated costs, overestimated revenues, undervalued environmental impacts and overvalued regional development effects." (Flyvbjerg, 2005, Antipode, p. 18)</w:t>
            </w:r>
          </w:p>
        </w:tc>
      </w:tr>
    </w:tbl>
    <w:p>
      <w:r>
        <w:rPr>
          <w:rFonts w:ascii="Arial" w:cs="Arial" w:eastAsia="Arial" w:hAnsi="Arial"/>
          <w:b w:val="false"/>
          <w:bCs w:val="false"/>
          <w:color w:val="000000"/>
          <w:sz w:val="20"/>
          <w:szCs w:val="20"/>
        </w:rPr>
        <w:t xml:space="preserve"/>
      </w:r>
    </w:p>
    <w:p>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75B6"/>
          <w:sz w:val="26"/>
          <w:szCs w:val="26"/>
        </w:rPr>
        <w:t xml:space="preserve">Tab B — P02: Flyvbjerg (2005) — Harvard Design Magazine</w:t>
      </w:r>
    </w:p>
    <w:p>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Paper_ID</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P02</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Authors_Year</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Flyvbjerg (2005) — Harvard Design Magazine</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Model_Specification</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Cross-tabulation: for 40-project subsample, each project classified as costs-underestimated AND benefits-overestimated (&gt;20%), reversed, or neutral. Descriptive statistics. Qualitative comparative case study: Bilbao Guggenheim (on budget) vs. Sydney Opera House (massive overrun) to identify design-process mechanisms.</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Identification_Strategy</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The near-perfect directional alignment of cost and benefit errors in 34/40 projects (85%) in the same direction rules out random error (which would predict ~50%). This is the core identification: the distribution is too biased to be technical error; it must be strategic. Political interview triangulation from UK planner interviews (via Flyvbjerg &amp; Cowi 2004).</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Control_Variables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None formal.</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Fixed_Effects</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None.</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Standard_Errors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reported. 34/40 statistic is presented without formal significance test in this paper.</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Main_Coefficient</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34/40 (85%) of projects have costs underestimated AND benefits overestimated by &gt;20%. Only 1/40 reversed. Only 5/40 within ±20% on both. Machiavellian formula summarised as: Underestimated Costs + Overestimated Benefits = Project Approval.</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Robustness_Tests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Consistency across multiple project types (transport, public buildings, energy, defence, IT, space) cited as robustness. 20-country coverage. Temporal persistence over 70+ years.</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Bias_Acknowledged</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Author explicitly addresses optimism bias as alternative; concedes some cases of genuine delusion. Acknowledges that Bilbao counter-case shows on-budget delivery is achievable, implying selection effects in who gets studied.</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Bias_NOT_Addressed</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40-project subsample: how was it selected from 300? No formal significance test on the 34/40 statistic. No controls for project size, sector, year, or country institutions. The 'strategic misrepresentation' classification is not operationalised beyond interview-based inference — endogeneity risk. No test of what mediates magnitude of bias.</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Data_Source_Detail</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Survey of 300 projects in 20 countries (same dataset as P01). 40-project subsample selected for cases where both cost and revenue data available. Data collected by Flyvbjerg's Danish research team. UK planner interviews from Flyvbjerg &amp; Cowi (2004) study for UK Dept of Transport.</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Sample_Restrictions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Large public works, primarily transport. High-profile projects with available cost AND revenue data for subsample.</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Cross_Institution</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20 countries, no formal cross-national analysis.</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Heterogeneity_Tests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Rail vs. road mentioned. No formal tests in this paper.</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Your_Advance</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You operationalise 'design quality at approval stage' (QE) as a measurable, pre-approval predictor and test it against outcomes using logistic regression across 12,328 World Bank projects. This directly tests Flyvbjerg's causal mechanism with a dataset &gt;40x larger, proper controls, and an identified coefficient (OR=27.8).</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Quote_For_Paper</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"The result is an unhealthy 'survival of the unfittest' for large public works and other construction projects." (Flyvbjerg, 2005, Harvard Design Magazine, p. 50)</w:t>
            </w:r>
          </w:p>
        </w:tc>
      </w:tr>
    </w:tbl>
    <w:p>
      <w:r>
        <w:rPr>
          <w:rFonts w:ascii="Arial" w:cs="Arial" w:eastAsia="Arial" w:hAnsi="Arial"/>
          <w:b w:val="false"/>
          <w:bCs w:val="false"/>
          <w:color w:val="000000"/>
          <w:sz w:val="20"/>
          <w:szCs w:val="20"/>
        </w:rPr>
        <w:t xml:space="preserve"/>
      </w:r>
    </w:p>
    <w:p>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75B6"/>
          <w:sz w:val="26"/>
          <w:szCs w:val="26"/>
        </w:rPr>
        <w:t xml:space="preserve">Tab B — P03: Flyvbjerg (2007) — TU Delft Inaugural Lecture</w:t>
      </w:r>
    </w:p>
    <w:p>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Paper_ID</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P03</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Authors_Year</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Flyvbjerg (2007) — TU Delft Inaugural Lecture</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Model_Specification</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Univariate descriptive statistics by project type (rail / bridges+tunnels / roads). Summary statistics: mean cost overrun, standard deviation, N. Traffic demand: mean inaccuracy, SD, N. No multivariate regression. Causal mechanism diagram (Fig. 1): continuum from optimism bias (low political pressure) to strategic misrepresentation (high political pressure) as explanation for distributional bias.</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Identification_Strategy</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(1) Distributions of cost errors are statistically significantly biased away from zero (mean ≠ 0 at high significance) — rejects random technical error. (2) 70-year temporal stability of overrun magnitude — rejects 'learning and improvement' counter-narrative. (3) Qualitative evidence from planner interviews (UK Dept of Transport study) shows awareness of bias among practitioners. (4) Political pressure variable predicts direction and magnitude of misrepresentation.</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Control_Variables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Project type informally. Country not formally controlled.</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Fixed_Effects</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None.</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Standard_Errors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Standard deviations of overruns by project type: Rail SD=38.4; Bridges/tunnels SD=62.4; Roads SD=29.9. No SE of mean reported.</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Main_Coefficient</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Rail avg. cost overrun = 44.7% (N=58); Bridges/tunnels = 33.8% (N=33); Roads = 20.4% (N=167). Rail traffic shortfall = -51.4% (N=25) — i.e., actual traffic 51.4% below forecast. Road traffic surplus = +9.5% (N=183). Difference between rail and road is statistically significant.</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Robustness_Tests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Cross-national: 20 nations, 5 continents. Multiple outcome types (cost and demand). Multiple project types. Temporal: 70-year period. Comparison with Dutch-specific data (3 projects, avg 24.9% vs 33.9% benchmark) as internal robustness check.</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Bias_Acknowledged</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Optimism bias vs. strategic misrepresentation explicitly differentiated (Fig. 1). Acknowledges data limitations for Dutch projects specifically. Acknowledges conservative measurement of overrun (excludes financing costs, O&amp;M, scrapping).</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Bias_NOT_Addressed</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 project-level regression on determinants of overrun magnitude. No formal identification of the 'political pressure' moderator — it is theoretical not measured. Selection bias: which projects are included in the 258? No controls for project complexity, size, governance quality, or design quality. Correlation between project type and overrun may reflect complexity differences not strategic intent.</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Data_Source_Detail</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258 transport projects from 20 nations (primary data collection by Flyvbjerg's Danish team). Published as Flyvbjerg, Holm &amp; Buhl (2002) JAPA and (2005) JAPA. Traffic demand data: 208 projects (rail n=25, roads n=183). Dutch-specific data from Duijvestein Committee (2004). UK interviews from Flyvbjerg &amp; Cowi (2004).</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Sample_Restrictions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Transport infrastructure only (roads, rail, bridges, tunnels). Large/mega projects. Excludes buildings, dams, IT, social sector. Construction costs only (not lifecycle).</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Cross_Institution</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20 nations, 5 continents — broadest cross-national coverage in this stream. No formal institutional comparison or regression.</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Heterogeneity_Tests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By project type (rail vs. bridge/tunnel vs. road) — statistically significant differences. By country: Dutch vs. international benchmark noted. No formal heterogeneity regression.</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Your_Advance</w:t>
            </w:r>
          </w:p>
        </w:tc>
        <w:tc>
          <w:tcPr>
            <w:tcW w:type="dxa" w:w="7160"/>
            <w:tcBorders>
              <w:top w:val="single" w:color="AAAAAA" w:sz="1"/>
              <w:left w:val="single" w:color="AAAAAA" w:sz="1"/>
              <w:bottom w:val="single" w:color="AAAAAA" w:sz="1"/>
              <w:right w:val="single" w:color="AAAAAA" w:sz="1"/>
            </w:tcBorders>
            <w:shd w:fill="F5FAFF" w:val="clear"/>
            <w:tcMar>
              <w:top w:type="dxa" w:w="60"/>
              <w:left w:type="dxa" w:w="120"/>
              <w:bottom w:type="dxa" w:w="60"/>
              <w:right w:type="dxa" w:w="120"/>
            </w:tcMar>
          </w:tcPr>
          <w:p>
            <w:r>
              <w:rPr>
                <w:rFonts w:ascii="Arial" w:cs="Arial" w:eastAsia="Arial" w:hAnsi="Arial"/>
                <w:color w:val="000000"/>
                <w:sz w:val="18"/>
                <w:szCs w:val="18"/>
              </w:rPr>
              <w:t xml:space="preserve">Your study addresses the three main gaps Flyvbjerg leaves: (1) you run a multivariate regression (logistic) not just descriptive stats; (2) you test design quality (QE) as an explicit predictor — the factor Flyvbjerg's causal mechanism implies but cannot measure; (3) your 12,328 World Bank projects span all sectors (not just transport) and multiple institutional contexts, with OR=27.8 providing the first quantified effect size for appraisal quality on project outcomes.</w:t>
            </w:r>
          </w:p>
        </w:tc>
      </w:tr>
      <w:tr>
        <w:tc>
          <w:tcPr>
            <w:tcW w:type="dxa" w:w="2200"/>
            <w:tcBorders>
              <w:top w:val="single" w:color="AAAAAA" w:sz="1"/>
              <w:left w:val="single" w:color="AAAAAA" w:sz="1"/>
              <w:bottom w:val="single" w:color="AAAAAA" w:sz="1"/>
              <w:right w:val="single" w:color="AAAAAA" w:sz="1"/>
            </w:tcBorders>
            <w:shd w:fill="D0E4F7" w:val="clear"/>
            <w:tcMar>
              <w:top w:type="dxa" w:w="60"/>
              <w:left w:type="dxa" w:w="120"/>
              <w:bottom w:type="dxa" w:w="60"/>
              <w:right w:type="dxa" w:w="120"/>
            </w:tcMar>
          </w:tcPr>
          <w:p>
            <w:r>
              <w:rPr>
                <w:rFonts w:ascii="Arial" w:cs="Arial" w:eastAsia="Arial" w:hAnsi="Arial"/>
                <w:b/>
                <w:bCs/>
                <w:color w:val="1F4E79"/>
                <w:sz w:val="18"/>
                <w:szCs w:val="18"/>
              </w:rPr>
              <w:t xml:space="preserve">Quote_For_Paper</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"Misinformation about costs, benefits, and risks is the norm... Nine out of ten projects have cost overrun... Cost overrun is found in all 20 nations and 5 continents covered by the study... Overrun is constant for the 70-year period covered by the study, estimates have not improved over time." (Flyvbjerg, 2007, SSRN 2278262, p. 3)</w:t>
            </w:r>
          </w:p>
        </w:tc>
      </w:tr>
    </w:tbl>
    <w:p>
      <w:r>
        <w:rPr>
          <w:rFonts w:ascii="Arial" w:cs="Arial" w:eastAsia="Arial" w:hAnsi="Arial"/>
          <w:b w:val="false"/>
          <w:bCs w:val="false"/>
          <w:color w:val="000000"/>
          <w:sz w:val="20"/>
          <w:szCs w:val="20"/>
        </w:rPr>
        <w:t xml:space="preserve"/>
      </w:r>
    </w:p>
    <w:p>
      <w:r>
        <w:rPr>
          <w:rFonts w:ascii="Arial" w:cs="Arial" w:eastAsia="Arial" w:hAnsi="Arial"/>
          <w:b w:val="false"/>
          <w:bCs w:val="false"/>
          <w:color w:val="000000"/>
          <w:sz w:val="20"/>
          <w:szCs w:val="20"/>
        </w:rPr>
        <w:t xml:space="preserve"/>
      </w:r>
    </w:p>
    <w:p>
      <w:pPr>
        <w:pStyle w:val="Heading1"/>
      </w:pPr>
      <w:r>
        <w:rPr>
          <w:rFonts w:ascii="Arial" w:cs="Arial" w:eastAsia="Arial" w:hAnsi="Arial"/>
          <w:b/>
          <w:bCs/>
          <w:color w:val="1F4E79"/>
          <w:sz w:val="32"/>
          <w:szCs w:val="32"/>
        </w:rPr>
        <w:t xml:space="preserve">STREAM SUMMARY — Political Economy of Infrastructure Approval</w:t>
      </w:r>
    </w:p>
    <w:p>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75B6"/>
          <w:sz w:val="26"/>
          <w:szCs w:val="26"/>
        </w:rPr>
        <w:t xml:space="preserve">Counts</w:t>
      </w:r>
    </w:p>
    <w:p>
      <w:r>
        <w:rPr>
          <w:rFonts w:ascii="Arial" w:cs="Arial" w:eastAsia="Arial" w:hAnsi="Arial"/>
          <w:b w:val="false"/>
          <w:bCs w:val="false"/>
          <w:color w:val="000000"/>
          <w:sz w:val="20"/>
          <w:szCs w:val="20"/>
        </w:rPr>
        <w:t xml:space="preserve">n included: 3   |   n excluded: 2</w:t>
      </w:r>
    </w:p>
    <w:p>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75B6"/>
          <w:sz w:val="26"/>
          <w:szCs w:val="26"/>
        </w:rPr>
        <w:t xml:space="preserve">Stream Gap (one sentence)</w:t>
      </w:r>
    </w:p>
    <w:p>
      <w:r>
        <w:rPr>
          <w:rFonts w:ascii="Arial" w:cs="Arial" w:eastAsia="Arial" w:hAnsi="Arial"/>
          <w:b w:val="false"/>
          <w:bCs w:val="false"/>
          <w:color w:val="000000"/>
          <w:sz w:val="20"/>
          <w:szCs w:val="20"/>
        </w:rPr>
        <w:t xml:space="preserve">No paper in this stream uses project-level multivariate regression to identify pre-approval design quality as a quantified causal predictor of development project outcomes; existing literature documents the systematic pattern of strategic misrepresentation across 258–300 projects but leaves unexplained — and unmeasured — the specific appraisal-stage quality signal that would distinguish projects approved on honest versus manipulated appraisals and predict their ultimate outcomes.</w:t>
      </w:r>
    </w:p>
    <w:p>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75B6"/>
          <w:sz w:val="26"/>
          <w:szCs w:val="26"/>
        </w:rPr>
        <w:t xml:space="preserve">Top 3 Forward Citations to Chase</w:t>
      </w:r>
    </w:p>
    <w:p>
      <w:r>
        <w:rPr>
          <w:rFonts w:ascii="Arial" w:cs="Arial" w:eastAsia="Arial" w:hAnsi="Arial"/>
          <w:b w:val="false"/>
          <w:bCs w:val="false"/>
          <w:color w:val="000000"/>
          <w:sz w:val="20"/>
          <w:szCs w:val="20"/>
        </w:rPr>
        <w:t xml:space="preserve">1. Flyvbjerg, B., Holm, M.K.S., &amp; Buhl, S.L. (2002). Underestimating Costs in Public Works Projects: Error or Lie? Journal of the American Planning Association, 68(3), 279–295.</w:t>
      </w:r>
    </w:p>
    <w:p>
      <w:r>
        <w:rPr>
          <w:rFonts w:ascii="Arial" w:cs="Arial" w:eastAsia="Arial" w:hAnsi="Arial"/>
          <w:b w:val="false"/>
          <w:bCs w:val="false"/>
          <w:color w:val="555555"/>
          <w:sz w:val="18"/>
          <w:szCs w:val="18"/>
        </w:rPr>
        <w:t xml:space="preserve">   → The peer-reviewed statistical foundation for the 258-project dataset used in P03. Contains formal significance tests. Essential for citing the primary quantitative evidence in your literature review.</w:t>
      </w:r>
    </w:p>
    <w:p>
      <w:r>
        <w:rPr>
          <w:rFonts w:ascii="Arial" w:cs="Arial" w:eastAsia="Arial" w:hAnsi="Arial"/>
          <w:b w:val="false"/>
          <w:bCs w:val="false"/>
          <w:color w:val="000000"/>
          <w:sz w:val="20"/>
          <w:szCs w:val="20"/>
        </w:rPr>
        <w:t xml:space="preserve"/>
      </w:r>
    </w:p>
    <w:p>
      <w:r>
        <w:rPr>
          <w:rFonts w:ascii="Arial" w:cs="Arial" w:eastAsia="Arial" w:hAnsi="Arial"/>
          <w:b w:val="false"/>
          <w:bCs w:val="false"/>
          <w:color w:val="000000"/>
          <w:sz w:val="20"/>
          <w:szCs w:val="20"/>
        </w:rPr>
        <w:t xml:space="preserve">2. Flyvbjerg, B., Holm, M.K.S., &amp; Buhl, S.L. (2005). How (In)accurate Are Demand Forecasts in Public Works Projects? The Case of Transportation. Journal of the American Planning Association, 71(2), 131–146.</w:t>
      </w:r>
    </w:p>
    <w:p>
      <w:r>
        <w:rPr>
          <w:rFonts w:ascii="Arial" w:cs="Arial" w:eastAsia="Arial" w:hAnsi="Arial"/>
          <w:b w:val="false"/>
          <w:bCs w:val="false"/>
          <w:color w:val="555555"/>
          <w:sz w:val="18"/>
          <w:szCs w:val="18"/>
        </w:rPr>
        <w:t xml:space="preserve">   → Companion JAPA paper on benefit (traffic demand) overestimation. Completes the cost+benefit picture. Needed to cite both sides of the Machiavellian formula.</w:t>
      </w:r>
    </w:p>
    <w:p>
      <w:r>
        <w:rPr>
          <w:rFonts w:ascii="Arial" w:cs="Arial" w:eastAsia="Arial" w:hAnsi="Arial"/>
          <w:b w:val="false"/>
          <w:bCs w:val="false"/>
          <w:color w:val="000000"/>
          <w:sz w:val="20"/>
          <w:szCs w:val="20"/>
        </w:rPr>
        <w:t xml:space="preserve"/>
      </w:r>
    </w:p>
    <w:p>
      <w:r>
        <w:rPr>
          <w:rFonts w:ascii="Arial" w:cs="Arial" w:eastAsia="Arial" w:hAnsi="Arial"/>
          <w:b w:val="false"/>
          <w:bCs w:val="false"/>
          <w:color w:val="000000"/>
          <w:sz w:val="20"/>
          <w:szCs w:val="20"/>
        </w:rPr>
        <w:t xml:space="preserve">3. Flyvbjerg, B., Bruzelius, N., &amp; Rothengatter, W. (2003). Megaprojects and Risk: An Anatomy of Ambition. Cambridge University Press.</w:t>
      </w:r>
    </w:p>
    <w:p>
      <w:r>
        <w:rPr>
          <w:rFonts w:ascii="Arial" w:cs="Arial" w:eastAsia="Arial" w:hAnsi="Arial"/>
          <w:b w:val="false"/>
          <w:bCs w:val="false"/>
          <w:color w:val="555555"/>
          <w:sz w:val="18"/>
          <w:szCs w:val="18"/>
        </w:rPr>
        <w:t xml:space="preserve">   → The book-length treatment; strongest claim to governance reform (accountability through transparency + private-sector competition). Most-cited source in this stream. Contains the principal-agent framing that links to your World Bank institutional context.</w:t>
      </w:r>
    </w:p>
    <w:p>
      <w:r>
        <w:rPr>
          <w:rFonts w:ascii="Arial" w:cs="Arial" w:eastAsia="Arial" w:hAnsi="Arial"/>
          <w:b w:val="false"/>
          <w:bCs w:val="false"/>
          <w:color w:val="000000"/>
          <w:sz w:val="20"/>
          <w:szCs w:val="20"/>
        </w:rPr>
        <w:t xml:space="preserve"/>
      </w:r>
    </w:p>
    <w:p>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75B6"/>
          <w:sz w:val="26"/>
          <w:szCs w:val="26"/>
        </w:rPr>
        <w:t xml:space="preserve">Copy-Paste Ready Synthesis for PhD Literature Review</w:t>
      </w:r>
    </w:p>
    <w:p>
      <w:r>
        <w:rPr>
          <w:rFonts w:ascii="Arial" w:cs="Arial" w:eastAsia="Arial" w:hAnsi="Arial"/>
          <w:b w:val="false"/>
          <w:bCs w:val="false"/>
          <w:color w:val="000000"/>
          <w:sz w:val="20"/>
          <w:szCs w:val="20"/>
        </w:rPr>
        <w:t xml:space="preserve"/>
      </w:r>
    </w:p>
    <w:p>
      <w:pPr>
        <w:spacing w:after="200"/>
      </w:pPr>
      <w:r>
        <w:rPr>
          <w:rFonts w:ascii="Arial" w:cs="Arial" w:eastAsia="Arial" w:hAnsi="Arial"/>
          <w:color w:val="000000"/>
          <w:sz w:val="20"/>
          <w:szCs w:val="20"/>
        </w:rPr>
        <w:t xml:space="preserve">The political economy of infrastructure approval stream (Flyvbjerg, 2003, 2005a, 2005b, 2007) establishes that project approval is systematically driven not by genuine cost-benefit merit but by strategic misrepresentation: promoters deliberately underestimate costs and overestimate benefits to secure funding in competition with rival projects. Across a survey of up to 300 large infrastructure projects in 20+ countries, Flyvbjerg finds that 9 in 10 projects experience post-approval cost overruns (rail: mean 44.7%; roads: 20.4%), and that in 34 of 40 projects for which matched cost-revenue data exist, both costs and benefits were simultaneously biased in the direction of approval rather than accuracy (Flyvbjerg, 2005b). These findings are statistically inconsistent with random technical error — distributions are significantly biased from zero across 70 years of data — and are instead consistent with strategic misrepresentation driven by political-organisational pressure for approval. The stream's canonical causal mechanism — Underestimated Costs + Overestimated Benefits = Project Approval (the 'Machiavellian formula') — predicts an 'inverted Darwinism' in which the worst-performing projects, not the best-designed ones, are selected for implementation (Flyvbjerg, 2005a). This stream leaves a critical gap: while it establishes that manipulated appraisals predict poor outcomes at the aggregate level, no study has operationalised the pre-approval quality signal — the design quality evaluation (QE) embedded in project appraisal — and tested it as a quantitative predictor of project success at the individual project level using a large cross-institutional dataset. The present study addresses this gap directly.</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2026-02-23T03:50:20.142Z</dcterms:created>
  <dcterms:modified xsi:type="dcterms:W3CDTF">2026-02-23T03:50:20.144Z</dcterms:modified>
</cp:coreProperties>
</file>

<file path=docProps/custom.xml><?xml version="1.0" encoding="utf-8"?>
<Properties xmlns="http://schemas.openxmlformats.org/officeDocument/2006/custom-properties" xmlns:vt="http://schemas.openxmlformats.org/officeDocument/2006/docPropsVTypes"/>
</file>