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97D"/>
          <w:sz w:val="36"/>
          <w:szCs w:val="36"/>
        </w:rPr>
        <w:t xml:space="preserve">ADB IED METHODOLOGY STREAM</w:t>
      </w:r>
    </w:p>
    <w:p>
      <w:pPr>
        <w:spacing w:before="0" w:after="60"/>
        <w:jc w:val="center"/>
      </w:pPr>
      <w:r>
        <w:rPr>
          <w:rFonts w:ascii="Arial" w:cs="Arial" w:eastAsia="Arial" w:hAnsi="Arial"/>
          <w:color w:val="555555"/>
          <w:sz w:val="24"/>
          <w:szCs w:val="24"/>
        </w:rPr>
        <w:t xml:space="preserve">Systematic Literature Coding Output for PhD Synthesis Project</w:t>
      </w:r>
    </w:p>
    <w:p>
      <w:pPr>
        <w:spacing w:before="0" w:after="400"/>
        <w:jc w:val="center"/>
      </w:pPr>
      <w:r>
        <w:rPr>
          <w:rFonts w:ascii="Arial" w:cs="Arial" w:eastAsia="Arial" w:hAnsi="Arial"/>
          <w:i/>
          <w:iCs/>
          <w:color w:val="777777"/>
          <w:sz w:val="20"/>
          <w:szCs w:val="20"/>
        </w:rPr>
        <w:t xml:space="preserve">Steve Brandon | QUT/Griffith University | February 2026</w:t>
      </w:r>
    </w:p>
    <w:p>
      <w:pPr>
        <w:pStyle w:val="Heading1"/>
        <w:shd w:fill="1F497D" w:val="clear"/>
        <w:spacing w:before="320" w:after="160"/>
        <w:ind w:left="100"/>
      </w:pPr>
      <w:r>
        <w:rPr>
          <w:rFonts w:ascii="Arial" w:cs="Arial" w:eastAsia="Arial" w:hAnsi="Arial"/>
          <w:b/>
          <w:bCs/>
          <w:color w:val="FFFFFF"/>
          <w:sz w:val="26"/>
          <w:szCs w:val="26"/>
        </w:rPr>
        <w:t xml:space="preserve">STEP 1 — INCLUSION SCREEN RESULTS</w:t>
      </w:r>
    </w:p>
    <w:p>
      <w:pPr>
        <w:spacing w:before="60" w:after="60"/>
      </w:pPr>
      <w:r>
        <w:rPr>
          <w:rFonts w:ascii="Arial" w:cs="Arial" w:eastAsia="Arial" w:hAnsi="Arial"/>
          <w:b/>
          <w:bCs/>
          <w:sz w:val="22"/>
          <w:szCs w:val="22"/>
        </w:rPr>
        <w:t xml:space="preserve">n INCLUDED: 2  |  n EXCLUDED: 9</w:t>
      </w:r>
    </w:p>
    <w:p>
      <w:pPr>
        <w:spacing w:after="100"/>
      </w:pPr>
    </w:p>
    <w:p>
      <w:pPr>
        <w:spacing w:before="60" w:after="60"/>
      </w:pPr>
      <w:r>
        <w:rPr>
          <w:rFonts w:ascii="Arial" w:cs="Arial" w:eastAsia="Arial" w:hAnsi="Arial"/>
          <w:b/>
          <w:bCs/>
          <w:sz w:val="20"/>
          <w:szCs w:val="20"/>
        </w:rPr>
        <w:t xml:space="preserve">INCLUDED PAPERS (quantitative outcome + regression/causal claim + development projects + peer-reviewed or credible working paper):</w:t>
      </w:r>
    </w:p>
    <w:p>
      <w:pPr>
        <w:spacing w:before="60" w:after="60"/>
      </w:pPr>
      <w:r>
        <w:rPr>
          <w:rFonts w:ascii="Arial" w:cs="Arial" w:eastAsia="Arial" w:hAnsi="Arial"/>
          <w:b w:val="false"/>
          <w:bCs w:val="false"/>
          <w:sz w:val="20"/>
          <w:szCs w:val="20"/>
        </w:rPr>
        <w:t xml:space="preserve">ADB-IED-001  Geli, Kraay &amp; Nobakht (2014) — World Bank Policy Research WP 7001</w:t>
      </w:r>
    </w:p>
    <w:p>
      <w:pPr>
        <w:spacing w:before="60" w:after="60"/>
      </w:pPr>
      <w:r>
        <w:rPr>
          <w:rFonts w:ascii="Arial" w:cs="Arial" w:eastAsia="Arial" w:hAnsi="Arial"/>
          <w:b w:val="false"/>
          <w:bCs w:val="false"/>
          <w:sz w:val="20"/>
          <w:szCs w:val="20"/>
        </w:rPr>
        <w:t xml:space="preserve">ADB-IED-002  Wang &amp; Levinson (2023) — Asian Transport Studies 9, 100104</w:t>
      </w:r>
    </w:p>
    <w:p>
      <w:pPr>
        <w:spacing w:after="120"/>
      </w:pPr>
    </w:p>
    <w:p>
      <w:pPr>
        <w:spacing w:before="60" w:after="60"/>
      </w:pPr>
      <w:r>
        <w:rPr>
          <w:rFonts w:ascii="Arial" w:cs="Arial" w:eastAsia="Arial" w:hAnsi="Arial"/>
          <w:b/>
          <w:bCs/>
          <w:sz w:val="20"/>
          <w:szCs w:val="20"/>
        </w:rPr>
        <w:t xml:space="preserve">EXCLUDED PAPERS: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File</w:t>
            </w:r>
          </w:p>
        </w:tc>
        <w:tc>
          <w:tcPr>
            <w:tcW w:type="dxa" w:w="60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Reason for Exclusion</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37965974.pdf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Operations Evaluation Manual (OEM) — prescriptive methodology only, no empirical data or regression</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pvr2929_3.pdf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Single project PVR (Viet Nam education, n=1) — excluded per single-project rule</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sdwp039.pdf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Sustainable Development Working Paper No. 39 — policy synthesis paper; no independent regression; only cites others' quantitative findings</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9789264094857-en.pdf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OECD (2010) Evaluation in Development Agencies — purely descriptive institutional profile, no project-level data</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Reducing_Emissions_from_Transport_Projec.pdf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IED EKB (2010) on transport carbon emissions — engineering/carbon accounting methodology, no regression on project success outcomes</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impactanalysishandbook_0.pdf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Impact Evaluation: Methodological and Operational Issues — reference handbook, no original empirical analysis</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environmentalflowsassessmentadbprojects.pdf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Environmental flows assessment for ADB projects — environmental methodology, no project outcome regression</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oma1.pdf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Operations Manual (image-based) — administrative/prescriptive, no empirical data</w:t>
            </w:r>
          </w:p>
        </w:tc>
      </w:tr>
      <w:tr>
        <w:tc>
          <w:tcPr>
            <w:tcW w:type="dxa" w:w="3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adb-am-requirements-manual.pdf</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File unreadable/corrupt (data format not parseable as PDF)</w:t>
            </w:r>
          </w:p>
        </w:tc>
      </w:tr>
    </w:tbl>
    <w:p>
      <w:pPr>
        <w:spacing w:after="300"/>
      </w:pPr>
    </w:p>
    <w:p>
      <w:pPr>
        <w:pStyle w:val="Heading1"/>
        <w:shd w:fill="1F497D" w:val="clear"/>
        <w:spacing w:before="320" w:after="160"/>
        <w:ind w:left="100"/>
      </w:pPr>
      <w:r>
        <w:rPr>
          <w:rFonts w:ascii="Arial" w:cs="Arial" w:eastAsia="Arial" w:hAnsi="Arial"/>
          <w:b/>
          <w:bCs/>
          <w:color w:val="FFFFFF"/>
          <w:sz w:val="26"/>
          <w:szCs w:val="26"/>
        </w:rPr>
        <w:t xml:space="preserve">STEP 2 — TAB A: ALL INCLUDED PAPERS (17 Fields)</w:t>
      </w:r>
    </w:p>
    <w:p>
      <w:pPr>
        <w:spacing w:after="100"/>
      </w:pPr>
    </w:p>
    <w:tbl>
      <w:tblPr>
        <w:tblW w:type="dxa" w:w="193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00"/>
        <w:gridCol w:w="1500"/>
        <w:gridCol w:w="1400"/>
        <w:gridCol w:w="1000"/>
        <w:gridCol w:w="1500"/>
        <w:gridCol w:w="1100"/>
        <w:gridCol w:w="1100"/>
        <w:gridCol w:w="900"/>
        <w:gridCol w:w="1200"/>
        <w:gridCol w:w="700"/>
        <w:gridCol w:w="1800"/>
        <w:gridCol w:w="1800"/>
        <w:gridCol w:w="800"/>
        <w:gridCol w:w="700"/>
        <w:gridCol w:w="1200"/>
      </w:tblGrid>
      <w:tr>
        <w:trPr>
          <w:tblHeader/>
        </w:trPr>
        <w:tc>
          <w:tcPr>
            <w:tcW w:type="dxa" w:w="9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12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Authors</w:t>
            </w:r>
          </w:p>
        </w:tc>
        <w:tc>
          <w:tcPr>
            <w:tcW w:type="dxa" w:w="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Year</w:t>
            </w:r>
          </w:p>
        </w:tc>
        <w:tc>
          <w:tcPr>
            <w:tcW w:type="dxa" w:w="1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Title</w:t>
            </w:r>
          </w:p>
        </w:tc>
        <w:tc>
          <w:tcPr>
            <w:tcW w:type="dxa" w:w="14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Journal</w:t>
            </w:r>
          </w:p>
        </w:tc>
        <w:tc>
          <w:tcPr>
            <w:tcW w:type="dxa" w:w="10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Stream</w:t>
            </w:r>
          </w:p>
        </w:tc>
        <w:tc>
          <w:tcPr>
            <w:tcW w:type="dxa" w:w="1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Research_Question</w:t>
            </w:r>
          </w:p>
        </w:tc>
        <w:tc>
          <w:tcPr>
            <w:tcW w:type="dxa" w:w="11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Outcome_Variable</w:t>
            </w:r>
          </w:p>
        </w:tc>
        <w:tc>
          <w:tcPr>
            <w:tcW w:type="dxa" w:w="11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Main_Predictor</w:t>
            </w:r>
          </w:p>
        </w:tc>
        <w:tc>
          <w:tcPr>
            <w:tcW w:type="dxa" w:w="9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Model_Type</w:t>
            </w:r>
          </w:p>
        </w:tc>
        <w:tc>
          <w:tcPr>
            <w:tcW w:type="dxa" w:w="12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Dataset</w:t>
            </w:r>
          </w:p>
        </w:tc>
        <w:tc>
          <w:tcPr>
            <w:tcW w:type="dxa" w:w="7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n_Projects</w:t>
            </w:r>
          </w:p>
        </w:tc>
        <w:tc>
          <w:tcPr>
            <w:tcW w:type="dxa" w:w="18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Key_Finding</w:t>
            </w:r>
          </w:p>
        </w:tc>
        <w:tc>
          <w:tcPr>
            <w:tcW w:type="dxa" w:w="18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Gap_They_Left</w:t>
            </w:r>
          </w:p>
        </w:tc>
        <w:tc>
          <w:tcPr>
            <w:tcW w:type="dxa" w:w="8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Relevant_to_RQ</w:t>
            </w:r>
          </w:p>
        </w:tc>
        <w:tc>
          <w:tcPr>
            <w:tcW w:type="dxa" w:w="7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Deep_Read</w:t>
            </w:r>
          </w:p>
        </w:tc>
        <w:tc>
          <w:tcPr>
            <w:tcW w:type="dxa" w:w="12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Notes</w:t>
            </w:r>
          </w:p>
        </w:tc>
      </w:tr>
      <w:tr>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ADB-IED-001</w:t>
            </w:r>
          </w:p>
        </w:tc>
        <w:tc>
          <w:tcPr>
            <w:tcW w:type="dxa" w:w="12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Geli, P.; Kraay, A.; Nobakht, H.</w:t>
            </w:r>
          </w:p>
        </w:tc>
        <w:tc>
          <w:tcPr>
            <w:tcW w:type="dxa" w:w="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2014</w:t>
            </w:r>
          </w:p>
        </w:tc>
        <w:tc>
          <w:tcPr>
            <w:tcW w:type="dxa" w:w="1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Predicting World Bank Project Outcome Ratings</w:t>
            </w:r>
          </w:p>
        </w:tc>
        <w:tc>
          <w:tcPr>
            <w:tcW w:type="dxa" w:w="14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World Bank Policy Research Working Paper 7001</w:t>
            </w:r>
          </w:p>
        </w:tc>
        <w:tc>
          <w:tcPr>
            <w:tcW w:type="dxa" w:w="1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IED Methodology / MDB Project Outcome Prediction</w:t>
            </w:r>
          </w:p>
        </w:tc>
        <w:tc>
          <w:tcPr>
            <w:tcW w:type="dxa" w:w="1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Can observable project characteristics measured at appraisal predict IEG outcome ratings better than World Bank staff self-assessments during implementation?</w:t>
            </w:r>
          </w:p>
        </w:tc>
        <w:tc>
          <w:tcPr>
            <w:tcW w:type="dxa" w:w="11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Binary project success: IEG-rated satisfactory or better (1) vs unsatisfactory (0)</w:t>
            </w:r>
          </w:p>
        </w:tc>
        <w:tc>
          <w:tcPr>
            <w:tcW w:type="dxa" w:w="11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Country Policy and Institutional Assessment (CPIA) rating; Task Team Leader (TTL) track record</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Probit regression; in-sample and out-of-sample prediction evaluation</w:t>
            </w:r>
          </w:p>
        </w:tc>
        <w:tc>
          <w:tcPr>
            <w:tcW w:type="dxa" w:w="12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World Bank IEG project evaluations 1995–2012 (IPF operations)</w:t>
            </w:r>
          </w:p>
        </w:tc>
        <w:tc>
          <w:tcPr>
            <w:tcW w:type="dxa" w:w="7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2,729 (estimation sample); 1,591 (active portfolio prediction)</w:t>
            </w:r>
          </w:p>
        </w:tc>
        <w:tc>
          <w:tcPr>
            <w:tcW w:type="dxa" w:w="18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CPIA and TTL track record together account for most predictive power. Model correctly predicts 46% of unsatisfactory outcomes in-sample and 40% out-of-sample. Outperforms ISR-DO self-assessments, which correctly identify only 3% of eventual failures in the first quarter of project life.</w:t>
            </w:r>
          </w:p>
        </w:tc>
        <w:tc>
          <w:tcPr>
            <w:tcW w:type="dxa" w:w="18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Does not extend to non-World Bank MDBs (ADB, AfDB). Does not test composite design quality (QE) as a structural predictor. TTL track record is a proxy for institutional quality but not a direct measure of project preparation quality. No sector-specific heterogeneity tested.</w:t>
            </w:r>
          </w:p>
        </w:tc>
        <w:tc>
          <w:tcPr>
            <w:tcW w:type="dxa" w:w="8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Yes – directly establishes that project characteristics observable at appraisal predict eventual IEG-equivalent outcomes. Provides the methodological template for a QE→outcome logit/probit model. OR not reported; Brandon's OR=27.8 substantially exceeds this model's predictive magnitude.</w:t>
            </w:r>
          </w:p>
        </w:tc>
        <w:tc>
          <w:tcPr>
            <w:tcW w:type="dxa" w:w="7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Yes</w:t>
            </w:r>
          </w:p>
        </w:tc>
        <w:tc>
          <w:tcPr>
            <w:tcW w:type="dxa" w:w="12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WPS7001, August 2014. Extends Kilby (2000), Dollar &amp; Svensson (2000). Key antecedent for establishing prediction model rationale across development finance institutions.</w:t>
            </w:r>
          </w:p>
        </w:tc>
      </w:tr>
      <w:tr>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ADB-IED-002</w:t>
            </w:r>
          </w:p>
        </w:tc>
        <w:tc>
          <w:tcPr>
            <w:tcW w:type="dxa" w:w="12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Wang, Y.; Levinson, D.</w:t>
            </w:r>
          </w:p>
        </w:tc>
        <w:tc>
          <w:tcPr>
            <w:tcW w:type="dxa" w:w="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2023</w:t>
            </w:r>
          </w:p>
        </w:tc>
        <w:tc>
          <w:tcPr>
            <w:tcW w:type="dxa" w:w="1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Errors in benefit-cost analysis for Asian Development Bank transport projects</w:t>
            </w:r>
          </w:p>
        </w:tc>
        <w:tc>
          <w:tcPr>
            <w:tcW w:type="dxa" w:w="14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Asian Transport Studies, Vol. 9, Article 100104</w:t>
            </w:r>
          </w:p>
        </w:tc>
        <w:tc>
          <w:tcPr>
            <w:tcW w:type="dxa" w:w="1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IED Methodology / Project Performance Analysis</w:t>
            </w:r>
          </w:p>
        </w:tc>
        <w:tc>
          <w:tcPr>
            <w:tcW w:type="dxa" w:w="15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What are the dimensions and systematic causes of discrepancies between ex ante and ex post benefit-cost analysis results in ADB transport projects?</w:t>
            </w:r>
          </w:p>
        </w:tc>
        <w:tc>
          <w:tcPr>
            <w:tcW w:type="dxa" w:w="11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Cost overrun (%); EIRR error (ex ante minus ex post); ex post NPV (multiple continuous dependent variables)</w:t>
            </w:r>
          </w:p>
        </w:tc>
        <w:tc>
          <w:tcPr>
            <w:tcW w:type="dxa" w:w="11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Project features: limited access road dummy, initial construction type, road length, ADB funding %, region, implementation period</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OLS linear regression (multiple models, 8 specifications across 4 dependent variables)</w:t>
            </w:r>
          </w:p>
        </w:tc>
        <w:tc>
          <w:tcPr>
            <w:tcW w:type="dxa" w:w="12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PCRs, PVRs, and PPERs for transport road projects; manually collected from ADB public website</w:t>
            </w:r>
          </w:p>
        </w:tc>
        <w:tc>
          <w:tcPr>
            <w:tcW w:type="dxa" w:w="7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59</w:t>
            </w:r>
          </w:p>
        </w:tc>
        <w:tc>
          <w:tcPr>
            <w:tcW w:type="dxa" w:w="18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Systematic optimism bias in ex ante BCA across ADB transport projects. Limited access road projects have significantly higher cost overruns. Longer implementation periods severely reduce ex post NPV. EIRR errors show regional differences (South Asia and Central West Asia higher). IED validation ratings not correlated with BCA accuracy. 78% of projects show cost discrepancy.</w:t>
            </w:r>
          </w:p>
        </w:tc>
        <w:tc>
          <w:tcPr>
            <w:tcW w:type="dxa" w:w="18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Very small n (59) limits statistical power. Does not examine composite design quality score as predictor. No causal identification strategy (OLS only, no IV). Restricted to transport sector. Relies exclusively on self-reported ADB data with no independent cross-validation of traffic or cost figures.</w:t>
            </w:r>
          </w:p>
        </w:tc>
        <w:tc>
          <w:tcPr>
            <w:tcW w:type="dxa" w:w="8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Yes – demonstrates that ADB's IED evaluation data (PCR/PVR/PPER) supports project-level regression analysis. Shows ex ante design stage factors predict ex post performance gaps. Directly analogous to the QE→outcome framework. Identifies the same institutional channel (optimism at appraisal) that QE is designed to capture.</w:t>
            </w:r>
          </w:p>
        </w:tc>
        <w:tc>
          <w:tcPr>
            <w:tcW w:type="dxa" w:w="7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Yes</w:t>
            </w:r>
          </w:p>
        </w:tc>
        <w:tc>
          <w:tcPr>
            <w:tcW w:type="dxa" w:w="12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Peer-reviewed journal article. Small sample limits generalizability. Explicit discussion of PCR/PVR/PPER data pipeline is methodologically useful for ADB replication of Brandon's approach.</w:t>
            </w:r>
          </w:p>
        </w:tc>
      </w:tr>
    </w:tbl>
    <w:p>
      <w:pPr>
        <w:spacing w:after="300"/>
      </w:pPr>
    </w:p>
    <w:p>
      <w:pPr>
        <w:pStyle w:val="Heading1"/>
        <w:shd w:fill="1F497D" w:val="clear"/>
        <w:spacing w:before="320" w:after="160"/>
        <w:ind w:left="100"/>
      </w:pPr>
      <w:r>
        <w:rPr>
          <w:rFonts w:ascii="Arial" w:cs="Arial" w:eastAsia="Arial" w:hAnsi="Arial"/>
          <w:b/>
          <w:bCs/>
          <w:color w:val="FFFFFF"/>
          <w:sz w:val="26"/>
          <w:szCs w:val="26"/>
        </w:rPr>
        <w:t xml:space="preserve">STEP 3 — TAB B: DEEP-READ PAPERS (16 Fields)</w:t>
      </w:r>
    </w:p>
    <w:p>
      <w:pPr>
        <w:spacing w:after="100"/>
      </w:pPr>
    </w:p>
    <w:p>
      <w:pPr>
        <w:pStyle w:val="Heading2"/>
        <w:spacing w:before="280" w:after="120"/>
      </w:pPr>
      <w:r>
        <w:rPr>
          <w:rFonts w:ascii="Arial" w:cs="Arial" w:eastAsia="Arial" w:hAnsi="Arial"/>
          <w:b/>
          <w:bCs/>
          <w:color w:val="1F497D"/>
          <w:sz w:val="24"/>
          <w:szCs w:val="24"/>
        </w:rPr>
        <w:t xml:space="preserve">Tab B — ADB-IED-001: Geli, Kraay &amp; Nobakht (2014)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ADB-IED-001</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Authors_Year</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Geli, Kraay &amp; Nobakht (2014)</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Model_Specification</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Probit regression: P(satisfactory=1|x) = Φ(β'x). Predictors: CPIA average rating, TTL quality score (success rate on other projects), planned project length, effectiveness delay (months), preparation time (months), log total commitment. Six-variable model; pseudo-R² = 0.085.</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Identification_Strategy</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Observational cross-sectional probit; temporal hold-out validation (estimate 1995–2005, predict 2006–2012) functions as quasi-out-of-sample test. No instrumental variables. Causal interpretation not claimed.</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Control_Variables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Log total commitment; planned project length; effectiveness delay; preparation time</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Fixed_Effects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None</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Standard_Errors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Standard MLE standard errors reported in probit table; robust SEs not specified</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Main_Coefficient</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CPIA: β=0.419, z=5.54, p&lt;0.001. TTL quality: β=1.033, z=8.16, p&lt;0.001. Planned length: β=−0.008, z=−3.58, p&lt;0.001. Preparation time: β=−0.003, z=−1.39, p=0.165 (not significant).</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Robustness_Tests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In-sample vs out-of-sample predictive accuracy comparison. Nested models: CPIA only (36% correct), TTL only (42% correct), CPIA+TTL (45%), full model (46%). Comparison to ISR-DO ratings at Q1–Q4 project life stages. Prediction calibrated to historical 27% unsatisfactory rate.</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Bias_Acknowledged</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Omitted variable bias (unobserved country/sector factors). Endogeneity of TTL assignment to projects. IEG ratings themselves subject to rater bias and grade inflation at exit.</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Bias_NOT_Addressed</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No IV for endogenous TTL assignment. Selection bias in which projects receive IEG evaluation. No sector or country fixed effects. No direct measure of preparation quality (QE) — TTL track record is an indirect proxy only.</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Data_Source_Detail</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World Bank internal IEG database; 2,729 IPF operations evaluated 1995–2012. Four rating stages: ISR (implementation), ICR (completion), ICRR (independent review), PPAR (performance assessment). Binary satisfactory = Moderately Satisfactory or better.</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Sample_Restrictions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Investment Project Financing only; excludes Development Policy Loans, guarantees, and private sector operations. Requires complete IEG evaluation and project characteristic data.</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Cross_Institution</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No — World Bank only. No ADB, AfDB, or other MDB projects included.</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Heterogeneity_Tests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Regional disaggregation of predicted unsatisfactory rates: AFR (41%), MNA (43%), ECA (15%). Predictions by project life stage (disbursement quartiles and time quartiles). Historical rate comparison by region.</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Your_Advance</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Brandon (this thesis): (1) extends to ADB context using IED-evaluated portfolio (n=12,328); (2) uses composite design quality score QE as direct structural predictor rather than institutional proxies (CPIA, TTL); (3) applies Firth penalized logistic regression to handle data separation; (4) achieves OR=27.8 — a magnitude of effect not reportable from Geli et al.'s probit parameterization; (5) cross-institutional validation via AidData (OR=149.9).</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Quote_For_Paper</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"The prediction model generates a 27 percent rate of unsatisfactory projects, consistent with historical experience… correctly predict[ing] 46 percent of unsatisfactory outcomes" (Geli et al. 2014, p. 9).</w:t>
            </w:r>
          </w:p>
        </w:tc>
      </w:tr>
    </w:tbl>
    <w:p>
      <w:pPr>
        <w:spacing w:after="200"/>
      </w:pPr>
    </w:p>
    <w:p>
      <w:pPr>
        <w:pStyle w:val="Heading2"/>
        <w:spacing w:before="280" w:after="120"/>
      </w:pPr>
      <w:r>
        <w:rPr>
          <w:rFonts w:ascii="Arial" w:cs="Arial" w:eastAsia="Arial" w:hAnsi="Arial"/>
          <w:b/>
          <w:bCs/>
          <w:color w:val="1F497D"/>
          <w:sz w:val="24"/>
          <w:szCs w:val="24"/>
        </w:rPr>
        <w:t xml:space="preserve">Tab B — ADB-IED-002: Wang &amp; Levinson (2023)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ADB-IED-002</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Authors_Year</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Wang &amp; Levinson (2023)</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Model_Specification</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OLS linear regression; 8 model specifications across 4 dependent variables (ex ante project cost, ex post project cost, EIRR error, ex post NPV). Independent variables include total cost (ex ante/post), access road type dummies, Y2000 dummy, ADB funding %, initial construction dummy, road length, region × length interactions, project life. Adj. R² ranges from 0.26–0.58 across models.</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Identification_Strategy</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Observational OLS comparing ex ante design-stage variables to ex post outcomes for the same project. No causal identification. Longitudinal within-project comparison (ex ante vs ex post) provides implicit control for unobserved project-level constants.</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Control_Variables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Y2000 (implementation year dummy), ADB funding percentage, project life, road length, regional dummies (South Asia, East Asia, Central West Asia, Oceania) and their interactions with road length</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Fixed_Effects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None</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Standard_Errors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Not reported explicitly in the paper</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Main_Coefficient</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Limited access road dummy → cost overrun: β=316.11 (p&lt;0.05). Initial construction dummy → ex ante cost: β=385.17 (p&lt;0.10). Implementation period → ex post NPV: β=−108.15 (p&lt;0.05). Ex ante length → positive EIRR: β=0.14 (p&lt;0.001).</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Robustness_Tests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Multiple model specifications (8 models); sensitivity analysis across dependent variables; regional subgroup regressions with interaction terms</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Bias_Acknowledged</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Self-reported ADB data with no independent traffic/cost cross-validation. Limited sample size (n=59). Lack of national open data portals in developing countries for post-completion verification. ADB's IED validation noted as 'somewhat uncertain' relative to developed-country retrospective analysis.</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Bias_NOT_Addressed</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Selection bias (which projects receive PCR/PVR/PPER and enter the dataset). Endogeneity of project design choices (access road inclusion, ADB funding share). No instrumental variables. Conflation of design quality with sector-specific technical factors.</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Data_Source_Detail</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ADB PCRs, PVRs, and PPERs for 59 transport road projects in ADB developing member countries. Data manually collected from ADB public website. Covers projects approved roughly 2000–2020. PCR self-assessment validated by PVR (80% of projects) or PPER (20%).</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Sample_Restrictions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Transport sector only (road projects). Requires both ex ante and ex post BCA data in PCR. Developing member countries. n=59 severely restricts statistical power.</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Cross_Institution</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No — ADB only. No World Bank or other MDB comparison.</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Heterogeneity_Tests</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Regional subgroup analysis via region × road-length interaction terms (South Asia, East Asia, Central West Asia, Oceania). Oceania subsample n=2 (negligible).</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Your_Advance</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Brandon (this thesis): (1) uses full ADB IED-evaluated portfolio (n=12,328) not restricted to transport; (2) uses binary success/failure outcome from IED ratings rather than continuous BCA error metrics; (3) QE composite design quality score is a direct structural measure not available in Wang &amp; Levinson; (4) Firth penalized logistic regression with IV validation vs OLS; (5) OR=27.8 establishes predictive magnitude orders larger than any Wang &amp; Levinson coefficient.</w:t>
            </w:r>
          </w:p>
        </w:tc>
      </w:tr>
      <w:tr>
        <w:tc>
          <w:tcPr>
            <w:tcW w:type="dxa" w:w="3500"/>
            <w:tcBorders>
              <w:top w:val="single" w:color="B0B0B0" w:sz="4"/>
              <w:left w:val="single" w:color="B0B0B0" w:sz="4"/>
              <w:bottom w:val="single" w:color="B0B0B0" w:sz="4"/>
              <w:right w:val="single" w:color="B0B0B0" w:sz="4"/>
            </w:tcBorders>
            <w:shd w:fill="B8CCE4" w:val="clear"/>
            <w:tcMar>
              <w:top w:type="dxa" w:w="60"/>
              <w:left w:type="dxa" w:w="100"/>
              <w:bottom w:type="dxa" w:w="60"/>
              <w:right w:type="dxa" w:w="100"/>
            </w:tcMar>
            <w:vAlign w:val="top"/>
          </w:tcPr>
          <w:p>
            <w:r>
              <w:rPr>
                <w:rFonts w:ascii="Arial" w:cs="Arial" w:eastAsia="Arial" w:hAnsi="Arial"/>
                <w:b/>
                <w:bCs/>
                <w:sz w:val="16"/>
                <w:szCs w:val="16"/>
              </w:rPr>
              <w:t xml:space="preserve">Quote_For_Paper</w:t>
            </w:r>
          </w:p>
        </w:tc>
        <w:tc>
          <w:tcPr>
            <w:tcW w:type="dxa" w:w="60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top"/>
          </w:tcPr>
          <w:p>
            <w:r>
              <w:rPr>
                <w:rFonts w:ascii="Arial" w:cs="Arial" w:eastAsia="Arial" w:hAnsi="Arial"/>
                <w:b w:val="false"/>
                <w:bCs w:val="false"/>
                <w:sz w:val="16"/>
                <w:szCs w:val="16"/>
              </w:rPr>
              <w:t xml:space="preserve">"Relying solely on the ex post project analysis produced by ADB is somewhat uncertain" (Wang &amp; Levinson 2023, p. 5).</w:t>
            </w:r>
          </w:p>
        </w:tc>
      </w:tr>
    </w:tbl>
    <w:p>
      <w:pPr>
        <w:spacing w:after="200"/>
      </w:pPr>
    </w:p>
    <w:p>
      <w:pPr>
        <w:spacing w:after="300"/>
      </w:pPr>
    </w:p>
    <w:p>
      <w:pPr>
        <w:pStyle w:val="Heading1"/>
        <w:shd w:fill="1F497D" w:val="clear"/>
        <w:spacing w:before="320" w:after="160"/>
        <w:ind w:left="100"/>
      </w:pPr>
      <w:r>
        <w:rPr>
          <w:rFonts w:ascii="Arial" w:cs="Arial" w:eastAsia="Arial" w:hAnsi="Arial"/>
          <w:b/>
          <w:bCs/>
          <w:color w:val="FFFFFF"/>
          <w:sz w:val="26"/>
          <w:szCs w:val="26"/>
        </w:rPr>
        <w:t xml:space="preserve">STEP 4 — STREAM SUMMARY</w:t>
      </w:r>
    </w:p>
    <w:p>
      <w:pPr>
        <w:pStyle w:val="Heading2"/>
        <w:spacing w:before="280" w:after="120"/>
      </w:pPr>
      <w:r>
        <w:rPr>
          <w:rFonts w:ascii="Arial" w:cs="Arial" w:eastAsia="Arial" w:hAnsi="Arial"/>
          <w:b/>
          <w:bCs/>
          <w:color w:val="1F497D"/>
          <w:sz w:val="24"/>
          <w:szCs w:val="24"/>
        </w:rPr>
        <w:t xml:space="preserve">Counts</w:t>
      </w:r>
    </w:p>
    <w:p>
      <w:pPr>
        <w:spacing w:before="60" w:after="60"/>
      </w:pPr>
      <w:r>
        <w:rPr>
          <w:rFonts w:ascii="Arial" w:cs="Arial" w:eastAsia="Arial" w:hAnsi="Arial"/>
          <w:b w:val="false"/>
          <w:bCs w:val="false"/>
          <w:sz w:val="20"/>
          <w:szCs w:val="20"/>
        </w:rPr>
        <w:t xml:space="preserve">n Included: 2</w:t>
      </w:r>
    </w:p>
    <w:p>
      <w:pPr>
        <w:spacing w:before="60" w:after="60"/>
      </w:pPr>
      <w:r>
        <w:rPr>
          <w:rFonts w:ascii="Arial" w:cs="Arial" w:eastAsia="Arial" w:hAnsi="Arial"/>
          <w:b w:val="false"/>
          <w:bCs w:val="false"/>
          <w:sz w:val="20"/>
          <w:szCs w:val="20"/>
        </w:rPr>
        <w:t xml:space="preserve">n Excluded: 9</w:t>
      </w:r>
    </w:p>
    <w:p>
      <w:pPr>
        <w:spacing w:after="100"/>
      </w:pPr>
    </w:p>
    <w:p>
      <w:pPr>
        <w:pStyle w:val="Heading2"/>
        <w:spacing w:before="280" w:after="120"/>
      </w:pPr>
      <w:r>
        <w:rPr>
          <w:rFonts w:ascii="Arial" w:cs="Arial" w:eastAsia="Arial" w:hAnsi="Arial"/>
          <w:b/>
          <w:bCs/>
          <w:color w:val="1F497D"/>
          <w:sz w:val="24"/>
          <w:szCs w:val="24"/>
        </w:rPr>
        <w:t xml:space="preserve">Stream Gap — Confirmed in One Sentence</w:t>
      </w:r>
    </w:p>
    <w:p>
      <w:pPr>
        <w:pBdr>
          <w:left w:val="single" w:color="1F497D" w:sz="12" w:space="10"/>
        </w:pBdr>
        <w:spacing w:before="100" w:after="100"/>
        <w:ind w:left="300"/>
      </w:pPr>
      <w:r>
        <w:rPr>
          <w:rFonts w:ascii="Arial" w:cs="Arial" w:eastAsia="Arial" w:hAnsi="Arial"/>
          <w:b/>
          <w:bCs/>
          <w:i/>
          <w:iCs/>
          <w:sz w:val="20"/>
          <w:szCs w:val="20"/>
        </w:rPr>
        <w:t xml:space="preserve">All existing quantitative work either predicts World Bank outcomes using institutional proxies (CPIA, TTL track record) without any structural design quality measure (Geli et al. 2014) or examines ADB performance only through narrow benefit-cost accuracy metrics for a small transport sample with no causal identification (Wang &amp; Levinson 2023), leaving no study that applies a composite design quality score (QE) to predict binary project success across the full ADB/IED-evaluated portfolio using penalized logistic regression.</w:t>
      </w:r>
    </w:p>
    <w:p>
      <w:pPr>
        <w:spacing w:after="200"/>
      </w:pPr>
    </w:p>
    <w:p>
      <w:pPr>
        <w:pStyle w:val="Heading2"/>
        <w:spacing w:before="280" w:after="120"/>
      </w:pPr>
      <w:r>
        <w:rPr>
          <w:rFonts w:ascii="Arial" w:cs="Arial" w:eastAsia="Arial" w:hAnsi="Arial"/>
          <w:b/>
          <w:bCs/>
          <w:color w:val="1F497D"/>
          <w:sz w:val="24"/>
          <w:szCs w:val="24"/>
        </w:rPr>
        <w:t xml:space="preserve">Top 3 Forward Citations to Chase</w:t>
      </w:r>
    </w:p>
    <w:p>
      <w:pPr>
        <w:spacing w:before="100" w:after="80"/>
      </w:pPr>
      <w:r>
        <w:rPr>
          <w:rFonts w:ascii="Arial" w:cs="Arial" w:eastAsia="Arial" w:hAnsi="Arial"/>
          <w:b/>
          <w:bCs/>
          <w:sz w:val="20"/>
          <w:szCs w:val="20"/>
        </w:rPr>
        <w:t xml:space="preserve">1.</w:t>
      </w:r>
      <w:r>
        <w:rPr>
          <w:rFonts w:ascii="Arial" w:cs="Arial" w:eastAsia="Arial" w:hAnsi="Arial"/>
          <w:sz w:val="20"/>
          <w:szCs w:val="20"/>
        </w:rPr>
        <w:t xml:space="preserve">  Bulman, D., Kolkma, W. &amp; Kraay, A. (2015). Good Countries or Good Projects? Macro and Micro Correlates of World Bank Project Performance. World Bank Policy Research Working Paper 7245.</w:t>
      </w:r>
    </w:p>
    <w:p>
      <w:pPr>
        <w:spacing w:before="60" w:after="60"/>
      </w:pPr>
      <w:r>
        <w:rPr>
          <w:rFonts w:ascii="Arial" w:cs="Arial" w:eastAsia="Arial" w:hAnsi="Arial"/>
          <w:b w:val="false"/>
          <w:bCs w:val="false"/>
          <w:sz w:val="20"/>
          <w:szCs w:val="20"/>
        </w:rPr>
        <w:t xml:space="preserve">Reason: Directly extends Geli et al. by decomposing country-level vs project-level drivers of outcomes. Identifies TTL quality and project design as independent predictors — precisely the mechanism Brandon formalises in QE. Chase forward citations from WPS7245 for any ADB-specific replication.</w:t>
      </w:r>
    </w:p>
    <w:p>
      <w:pPr>
        <w:spacing w:after="100"/>
      </w:pPr>
    </w:p>
    <w:p>
      <w:pPr>
        <w:spacing w:before="100" w:after="80"/>
      </w:pPr>
      <w:r>
        <w:rPr>
          <w:rFonts w:ascii="Arial" w:cs="Arial" w:eastAsia="Arial" w:hAnsi="Arial"/>
          <w:b/>
          <w:bCs/>
          <w:sz w:val="20"/>
          <w:szCs w:val="20"/>
        </w:rPr>
        <w:t xml:space="preserve">2.</w:t>
      </w:r>
      <w:r>
        <w:rPr>
          <w:rFonts w:ascii="Arial" w:cs="Arial" w:eastAsia="Arial" w:hAnsi="Arial"/>
          <w:sz w:val="20"/>
          <w:szCs w:val="20"/>
        </w:rPr>
        <w:t xml:space="preserve">  Kilby, C. (2000). Supervision and Performance: The Case of World Bank Projects. Journal of Development Economics, 62(2): 233–259.</w:t>
      </w:r>
    </w:p>
    <w:p>
      <w:pPr>
        <w:spacing w:before="60" w:after="60"/>
      </w:pPr>
      <w:r>
        <w:rPr>
          <w:rFonts w:ascii="Arial" w:cs="Arial" w:eastAsia="Arial" w:hAnsi="Arial"/>
          <w:b w:val="false"/>
          <w:bCs w:val="false"/>
          <w:sz w:val="20"/>
          <w:szCs w:val="20"/>
        </w:rPr>
        <w:t xml:space="preserve">Reason: Foundational paper establishing that World Bank supervision quality (a proxy for preparation and monitoring quality) predicts project performance. Brandon's QE operationalises supervision quality into a composite score — citing Kilby anchors the causal mechanism in the literature.</w:t>
      </w:r>
    </w:p>
    <w:p>
      <w:pPr>
        <w:spacing w:after="100"/>
      </w:pPr>
    </w:p>
    <w:p>
      <w:pPr>
        <w:spacing w:before="100" w:after="80"/>
      </w:pPr>
      <w:r>
        <w:rPr>
          <w:rFonts w:ascii="Arial" w:cs="Arial" w:eastAsia="Arial" w:hAnsi="Arial"/>
          <w:b/>
          <w:bCs/>
          <w:sz w:val="20"/>
          <w:szCs w:val="20"/>
        </w:rPr>
        <w:t xml:space="preserve">3.</w:t>
      </w:r>
      <w:r>
        <w:rPr>
          <w:rFonts w:ascii="Arial" w:cs="Arial" w:eastAsia="Arial" w:hAnsi="Arial"/>
          <w:sz w:val="20"/>
          <w:szCs w:val="20"/>
        </w:rPr>
        <w:t xml:space="preserve">  Dollar, D. &amp; Svensson, J. (2000). What Explains the Success and Failure of Structural Adjustment Programs? The Economic Journal, 110(466): 894–917.</w:t>
      </w:r>
    </w:p>
    <w:p>
      <w:pPr>
        <w:spacing w:before="60" w:after="60"/>
      </w:pPr>
      <w:r>
        <w:rPr>
          <w:rFonts w:ascii="Arial" w:cs="Arial" w:eastAsia="Arial" w:hAnsi="Arial"/>
          <w:b w:val="false"/>
          <w:bCs w:val="false"/>
          <w:sz w:val="20"/>
          <w:szCs w:val="20"/>
        </w:rPr>
        <w:t xml:space="preserve">Reason: Establishes that borrower-owned design processes predict structural adjustment program success — the earliest causal claim linking design-stage characteristics to project outcomes across development institutions. Direct antecedent to the QE→outcome causal chain Brandon tests with OR=27.8.</w:t>
      </w:r>
    </w:p>
    <w:p>
      <w:pPr>
        <w:spacing w:after="300"/>
      </w:pPr>
    </w:p>
    <w:p>
      <w:pPr>
        <w:pStyle w:val="Heading2"/>
        <w:spacing w:before="280" w:after="120"/>
      </w:pPr>
      <w:r>
        <w:rPr>
          <w:rFonts w:ascii="Arial" w:cs="Arial" w:eastAsia="Arial" w:hAnsi="Arial"/>
          <w:b/>
          <w:bCs/>
          <w:color w:val="1F497D"/>
          <w:sz w:val="24"/>
          <w:szCs w:val="24"/>
        </w:rPr>
        <w:t xml:space="preserve">Copy-Paste Ready Output for Synthesis Project</w:t>
      </w:r>
    </w:p>
    <w:p>
      <w:pPr>
        <w:spacing w:before="100" w:after="80"/>
      </w:pPr>
      <w:r>
        <w:rPr>
          <w:rFonts w:ascii="Arial" w:cs="Arial" w:eastAsia="Arial" w:hAnsi="Arial"/>
          <w:b/>
          <w:bCs/>
          <w:sz w:val="20"/>
          <w:szCs w:val="20"/>
        </w:rPr>
        <w:t xml:space="preserve">Literature → Gap → Question → Model → Data → Result narrative:</w:t>
      </w:r>
    </w:p>
    <w:p>
      <w:pPr>
        <w:pBdr>
          <w:left w:val="single" w:color="AAAAAA" w:sz="8" w:space="10"/>
        </w:pBdr>
        <w:spacing w:before="60" w:after="100"/>
        <w:ind w:left="200"/>
      </w:pPr>
      <w:r>
        <w:rPr>
          <w:rFonts w:ascii="Arial" w:cs="Arial" w:eastAsia="Arial" w:hAnsi="Arial"/>
          <w:sz w:val="19"/>
          <w:szCs w:val="19"/>
        </w:rPr>
        <w:t xml:space="preserve">Literature: Geli, Kraay &amp; Nobakht (2014) establish that World Bank project outcomes are predictable from observable pre-implementation characteristics — country institutional quality (CPIA) and task team leader track record together explain approximately half of all eventually unsatisfactory project outcomes (n=2,729; out-of-sample accuracy 40–46%). Wang &amp; Levinson (2023) demonstrate that ADB's own IED evaluation pipeline (PCR/PVR/PPER) supports project-level regression analysis, confirming systematic optimism bias in ex ante BCA for ADB transport projects (n=59). Both streams establish the empirical plausibility of predicting development project failure from appraisal-stage information.</w:t>
      </w:r>
    </w:p>
    <w:p>
      <w:pPr>
        <w:pBdr>
          <w:left w:val="single" w:color="AAAAAA" w:sz="8" w:space="10"/>
        </w:pBdr>
        <w:spacing w:before="60" w:after="100"/>
        <w:ind w:left="200"/>
      </w:pPr>
      <w:r>
        <w:rPr>
          <w:rFonts w:ascii="Arial" w:cs="Arial" w:eastAsia="Arial" w:hAnsi="Arial"/>
          <w:sz w:val="19"/>
          <w:szCs w:val="19"/>
        </w:rPr>
        <w:t xml:space="preserve">Gap: No existing study applies a composite structural design quality score (QE) as the primary predictor of binary success outcomes across the full ADB/IED-evaluated portfolio. Geli et al. use institutional proxies (CPIA, TTL) not a direct design quality measure; Wang &amp; Levinson use only 59 transport projects with no causal identification.</w:t>
      </w:r>
    </w:p>
    <w:p>
      <w:pPr>
        <w:pBdr>
          <w:left w:val="single" w:color="AAAAAA" w:sz="8" w:space="10"/>
        </w:pBdr>
        <w:spacing w:before="60" w:after="100"/>
        <w:ind w:left="200"/>
      </w:pPr>
      <w:r>
        <w:rPr>
          <w:rFonts w:ascii="Arial" w:cs="Arial" w:eastAsia="Arial" w:hAnsi="Arial"/>
          <w:sz w:val="19"/>
          <w:szCs w:val="19"/>
        </w:rPr>
        <w:t xml:space="preserve">Research Question: Does composite design quality at entry (QE) predict binary project success across the ADB IED-evaluated project portfolio, after controlling for country and sector covariates?</w:t>
      </w:r>
    </w:p>
    <w:p>
      <w:pPr>
        <w:pBdr>
          <w:left w:val="single" w:color="AAAAAA" w:sz="8" w:space="10"/>
        </w:pBdr>
        <w:spacing w:before="60" w:after="100"/>
        <w:ind w:left="200"/>
      </w:pPr>
      <w:r>
        <w:rPr>
          <w:rFonts w:ascii="Arial" w:cs="Arial" w:eastAsia="Arial" w:hAnsi="Arial"/>
          <w:sz w:val="19"/>
          <w:szCs w:val="19"/>
        </w:rPr>
        <w:t xml:space="preserve">Model: Firth penalized logistic regression (to handle quasi-separation in small-failure-rate contexts); IV analysis to rule out reverse causality from outcome ratings back to design quality scores.</w:t>
      </w:r>
    </w:p>
    <w:p>
      <w:pPr>
        <w:pBdr>
          <w:left w:val="single" w:color="AAAAAA" w:sz="8" w:space="10"/>
        </w:pBdr>
        <w:spacing w:before="60" w:after="100"/>
        <w:ind w:left="200"/>
      </w:pPr>
      <w:r>
        <w:rPr>
          <w:rFonts w:ascii="Arial" w:cs="Arial" w:eastAsia="Arial" w:hAnsi="Arial"/>
          <w:sz w:val="19"/>
          <w:szCs w:val="19"/>
        </w:rPr>
        <w:t xml:space="preserve">Data: 12,328 World Bank projects (primary) and AidData cross-institutional sample (validation); IED-equivalent project-level evaluation ratings as outcome; QE composite score constructed from appraisal documents.</w:t>
      </w:r>
    </w:p>
    <w:p>
      <w:pPr>
        <w:pBdr>
          <w:left w:val="single" w:color="AAAAAA" w:sz="8" w:space="10"/>
        </w:pBdr>
        <w:spacing w:before="60" w:after="100"/>
        <w:ind w:left="200"/>
      </w:pPr>
      <w:r>
        <w:rPr>
          <w:rFonts w:ascii="Arial" w:cs="Arial" w:eastAsia="Arial" w:hAnsi="Arial"/>
          <w:sz w:val="19"/>
          <w:szCs w:val="19"/>
        </w:rPr>
        <w:t xml:space="preserve">Result: OR = 27.8 (World Bank sample, p&lt;0.001); OR = 149.9 (AidData cross-institutional validation). Projects with satisfactory design quality are 27.8 times more likely to achieve successful outcomes — an effect magnitude not achievable with the institutional proxy variables used in Geli et al. (2014) or the limited OLS regressions of Wang &amp; Levinson (2023).</w:t>
      </w:r>
    </w:p>
    <w:sectPr>
      <w:pgSz w:w="2016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26"/>
      <w:szCs w:val="26"/>
    </w:rPr>
  </w:style>
  <w:style w:type="paragraph" w:styleId="Heading2">
    <w:name w:val="Heading 2"/>
    <w:basedOn w:val="Normal"/>
    <w:next w:val="Normal"/>
    <w:qFormat/>
    <w:pPr>
      <w:spacing w:before="280" w:after="12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2026-02-23T01:22:30.516Z</dcterms:created>
  <dcterms:modified xsi:type="dcterms:W3CDTF">2026-02-23T01:22:30.517Z</dcterms:modified>
</cp:coreProperties>
</file>

<file path=docProps/custom.xml><?xml version="1.0" encoding="utf-8"?>
<Properties xmlns="http://schemas.openxmlformats.org/officeDocument/2006/custom-properties" xmlns:vt="http://schemas.openxmlformats.org/officeDocument/2006/docPropsVTypes"/>
</file>