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Arial" w:cs="Arial" w:eastAsia="Arial" w:hAnsi="Arial"/>
          <w:b/>
          <w:bCs/>
          <w:color w:val="2E4057"/>
          <w:sz w:val="36"/>
          <w:szCs w:val="36"/>
        </w:rPr>
        <w:t xml:space="preserve">SPECIFICATION ROBUSTNESS STREAM</w:t>
      </w:r>
    </w:p>
    <w:p>
      <w:pPr>
        <w:spacing w:after="120"/>
        <w:jc w:val="center"/>
      </w:pPr>
      <w:r>
        <w:rPr>
          <w:rFonts w:ascii="Arial" w:cs="Arial" w:eastAsia="Arial" w:hAnsi="Arial"/>
          <w:color w:val="555555"/>
          <w:sz w:val="24"/>
          <w:szCs w:val="24"/>
        </w:rPr>
        <w:t xml:space="preserve">Systematic Literature Coding — Synthesis Project</w:t>
      </w:r>
    </w:p>
    <w:p>
      <w:pPr>
        <w:spacing w:after="480"/>
        <w:jc w:val="center"/>
      </w:pPr>
      <w:r>
        <w:rPr>
          <w:rFonts w:ascii="Arial" w:cs="Arial" w:eastAsia="Arial" w:hAnsi="Arial"/>
          <w:i/>
          <w:iCs/>
          <w:color w:val="777777"/>
          <w:sz w:val="20"/>
          <w:szCs w:val="20"/>
        </w:rPr>
        <w:t xml:space="preserve">PhD Research: Brandon, S. | QUT/Griffith | February 2026</w:t>
      </w:r>
    </w:p>
    <w:p>
      <w:pPr>
        <w:pStyle w:val="Heading1"/>
      </w:pPr>
      <w:r>
        <w:rPr>
          <w:rFonts w:ascii="Arial" w:cs="Arial" w:eastAsia="Arial" w:hAnsi="Arial"/>
          <w:b/>
          <w:bCs/>
          <w:color w:val="2E4057"/>
          <w:sz w:val="28"/>
          <w:szCs w:val="28"/>
        </w:rPr>
        <w:t xml:space="preserve">Step 1 — Inclusion Screen</w:t>
      </w:r>
    </w:p>
    <w:p>
      <w:r>
        <w:t xml:space="preserve"/>
      </w:r>
    </w:p>
    <w:p>
      <w:pPr>
        <w:spacing w:after="120"/>
      </w:pPr>
      <w:r>
        <w:rPr>
          <w:rFonts w:ascii="Arial" w:cs="Arial" w:eastAsia="Arial" w:hAnsi="Arial"/>
          <w:sz w:val="20"/>
          <w:szCs w:val="20"/>
        </w:rPr>
        <w:t xml:space="preserve">All five uploaded PDFs were evaluated against the Specification Robustness stream criteria. Because this is a METHODOLOGICAL stream—not the main Development Outcomes stream—the inclusion criterion is: quantitative empirical paper using specification curve analysis (SCA), multiverse analysis, or equivalent systematic robustness testing; peer-reviewed or credible working paper; n ≥ 10; provides generalisable methodological insight applicable to regression-based development project research.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700"/>
        <w:gridCol w:w="700"/>
        <w:gridCol w:w="2960"/>
      </w:tblGrid>
      <w:tr>
        <w:tc>
          <w:tcPr>
            <w:tcW w:type="dxa" w:w="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Paper_ID</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Paper</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n</w:t>
            </w:r>
          </w:p>
        </w:tc>
        <w:tc>
          <w:tcPr>
            <w:tcW w:type="dxa" w:w="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Decision</w:t>
            </w:r>
          </w:p>
        </w:tc>
        <w:tc>
          <w:tcPr>
            <w:tcW w:type="dxa" w:w="29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6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SR01</w:t>
            </w:r>
          </w:p>
        </w:tc>
        <w:tc>
          <w:tcPr>
            <w:tcW w:type="dxa" w:w="22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Masur (2023), Information, Communication &amp; Society</w:t>
            </w:r>
          </w:p>
        </w:tc>
        <w:tc>
          <w:tcPr>
            <w:tcW w:type="dxa" w:w="22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Privacy paradox — SCA of EU survey data</w:t>
            </w:r>
          </w:p>
        </w:tc>
        <w:tc>
          <w:tcPr>
            <w:tcW w:type="dxa" w:w="7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8,962–11,428</w:t>
            </w:r>
          </w:p>
        </w:tc>
        <w:tc>
          <w:tcPr>
            <w:tcW w:type="dxa" w:w="7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INCLUDE</w:t>
            </w:r>
          </w:p>
        </w:tc>
        <w:tc>
          <w:tcPr>
            <w:tcW w:type="dxa" w:w="296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Quantitative, regression-based SCA; peer-reviewed; 198 specs; models Type E/N/U decision taxonomy directly applicable to Steve's logistic regression choices</w:t>
            </w:r>
          </w:p>
        </w:tc>
      </w:tr>
      <w:tr>
        <w:tc>
          <w:tcPr>
            <w:tcW w:type="dxa" w:w="6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SR02</w:t>
            </w:r>
          </w:p>
        </w:tc>
        <w:tc>
          <w:tcPr>
            <w:tcW w:type="dxa" w:w="2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Beijers et al. (2022), Psychological Medicine</w:t>
            </w:r>
          </w:p>
        </w:tc>
        <w:tc>
          <w:tcPr>
            <w:tcW w:type="dxa" w:w="2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Biological subtypes of MDD — SCA of clustering</w:t>
            </w:r>
          </w:p>
        </w:tc>
        <w:tc>
          <w:tcPr>
            <w:tcW w:type="dxa" w:w="7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688 + 426</w:t>
            </w:r>
          </w:p>
        </w:tc>
        <w:tc>
          <w:tcPr>
            <w:tcW w:type="dxa" w:w="7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INCLUDE (limited)</w:t>
            </w:r>
          </w:p>
        </w:tc>
        <w:tc>
          <w:tcPr>
            <w:tcW w:type="dxa" w:w="296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SCA methodology paper, peer-reviewed, 1200 specs; BUT unsupervised clustering, not regression — limited direct relevance; included for SCA theory/null-hypothesis testing framework only. Deep_Read=No.</w:t>
            </w:r>
          </w:p>
        </w:tc>
      </w:tr>
      <w:tr>
        <w:tc>
          <w:tcPr>
            <w:tcW w:type="dxa" w:w="6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SR03</w:t>
            </w:r>
          </w:p>
        </w:tc>
        <w:tc>
          <w:tcPr>
            <w:tcW w:type="dxa" w:w="22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Högberg (2025), BMC Psychiatry</w:t>
            </w:r>
          </w:p>
        </w:tc>
        <w:tc>
          <w:tcPr>
            <w:tcW w:type="dxa" w:w="22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School stress → mental health — SCA of regression models</w:t>
            </w:r>
          </w:p>
        </w:tc>
        <w:tc>
          <w:tcPr>
            <w:tcW w:type="dxa" w:w="7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2,991–4,845</w:t>
            </w:r>
          </w:p>
        </w:tc>
        <w:tc>
          <w:tcPr>
            <w:tcW w:type="dxa" w:w="7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INCLUDE</w:t>
            </w:r>
          </w:p>
        </w:tc>
        <w:tc>
          <w:tcPr>
            <w:tcW w:type="dxa" w:w="296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Quantitative SCA of OLS/FE/LDV regression; 57,322 specs; open access peer-reviewed; FE vs contemporaneous vs lagged structure directly analogous to Steve's QE-timing question</w:t>
            </w:r>
          </w:p>
        </w:tc>
      </w:tr>
      <w:tr>
        <w:tc>
          <w:tcPr>
            <w:tcW w:type="dxa" w:w="6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SR04</w:t>
            </w:r>
          </w:p>
        </w:tc>
        <w:tc>
          <w:tcPr>
            <w:tcW w:type="dxa" w:w="2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Zimmerman et al. (2025), Nature Communications</w:t>
            </w:r>
          </w:p>
        </w:tc>
        <w:tc>
          <w:tcPr>
            <w:tcW w:type="dxa" w:w="2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Microbiome → T1D prediction — SCA of ML models</w:t>
            </w:r>
          </w:p>
        </w:tc>
        <w:tc>
          <w:tcPr>
            <w:tcW w:type="dxa" w:w="7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783</w:t>
            </w:r>
          </w:p>
        </w:tc>
        <w:tc>
          <w:tcPr>
            <w:tcW w:type="dxa" w:w="7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INCLUDE (limited)</w:t>
            </w:r>
          </w:p>
        </w:tc>
        <w:tc>
          <w:tcPr>
            <w:tcW w:type="dxa" w:w="296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SCA at scale (11,189 specs) peer-reviewed; BUT ML prediction (AUC) not causal regression (OR); medically specialised; included for SCA scale argument only. Deep_Read=No.</w:t>
            </w:r>
          </w:p>
        </w:tc>
      </w:tr>
      <w:tr>
        <w:tc>
          <w:tcPr>
            <w:tcW w:type="dxa" w:w="6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SR05</w:t>
            </w:r>
          </w:p>
        </w:tc>
        <w:tc>
          <w:tcPr>
            <w:tcW w:type="dxa" w:w="22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Chaudhuri &amp; Piper (2025), SSRN WP 5740148</w:t>
            </w:r>
          </w:p>
        </w:tc>
        <w:tc>
          <w:tcPr>
            <w:tcW w:type="dxa" w:w="22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Age → wellbeing — SCA of OLS/FE panel regressions</w:t>
            </w:r>
          </w:p>
        </w:tc>
        <w:tc>
          <w:tcPr>
            <w:tcW w:type="dxa" w:w="7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457,893 person-yrs</w:t>
            </w:r>
          </w:p>
        </w:tc>
        <w:tc>
          <w:tcPr>
            <w:tcW w:type="dxa" w:w="70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INCLUDE</w:t>
            </w:r>
          </w:p>
        </w:tc>
        <w:tc>
          <w:tcPr>
            <w:tcW w:type="dxa" w:w="2960"/>
            <w:tcBorders>
              <w:top w:val="single" w:color="999999" w:sz="1"/>
              <w:left w:val="single" w:color="999999" w:sz="1"/>
              <w:bottom w:val="single" w:color="999999" w:sz="1"/>
              <w:right w:val="single" w:color="999999" w:sz="1"/>
            </w:tcBorders>
            <w:shd w:fill="EAF4EA" w:val="clear"/>
            <w:tcMar>
              <w:top w:type="dxa" w:w="60"/>
              <w:left w:type="dxa" w:w="100"/>
              <w:bottom w:type="dxa" w:w="60"/>
              <w:right w:type="dxa" w:w="100"/>
            </w:tcMar>
          </w:tcPr>
          <w:p>
            <w:r>
              <w:rPr>
                <w:rFonts w:ascii="Arial" w:cs="Arial" w:eastAsia="Arial" w:hAnsi="Arial"/>
                <w:sz w:val="18"/>
                <w:szCs w:val="18"/>
              </w:rPr>
              <w:t xml:space="preserve">Credible working paper (University of Leeds); 750 specs; panel OLS with FE variation most analogous to World Bank project regression; 'order out of chaos' framing perfectly captures Steve's justification need</w:t>
            </w:r>
          </w:p>
        </w:tc>
      </w:tr>
    </w:tbl>
    <w:p>
      <w:r>
        <w:t xml:space="preserve"/>
      </w:r>
    </w:p>
    <w:p>
      <w:pPr>
        <w:spacing w:after="120"/>
      </w:pPr>
      <w:r>
        <w:rPr>
          <w:rFonts w:ascii="Arial" w:cs="Arial" w:eastAsia="Arial" w:hAnsi="Arial"/>
          <w:sz w:val="20"/>
          <w:szCs w:val="20"/>
        </w:rPr>
        <w:t xml:space="preserve">Summary: 5 INCLUDED (all 5 meet SCA robustness stream criteria) / 0 EXCLUDED. Three papers designated Deep_Read=Yes (SR01, SR03, SR05); two included with limited deep-read (SR02, SR04).</w:t>
      </w:r>
    </w:p>
    <w:p>
      <w:r>
        <w:t xml:space="preserve"/>
      </w:r>
    </w:p>
    <w:p>
      <w:pPr>
        <w:pStyle w:val="Heading1"/>
      </w:pPr>
      <w:r>
        <w:rPr>
          <w:rFonts w:ascii="Arial" w:cs="Arial" w:eastAsia="Arial" w:hAnsi="Arial"/>
          <w:b/>
          <w:bCs/>
          <w:color w:val="2E4057"/>
          <w:sz w:val="28"/>
          <w:szCs w:val="28"/>
        </w:rPr>
        <w:t xml:space="preserve">Step 4 — Stream Summary</w:t>
      </w:r>
    </w:p>
    <w:p>
      <w:r>
        <w:t xml:space="preserve"/>
      </w:r>
    </w:p>
    <w:p>
      <w:pPr>
        <w:pStyle w:val="Heading2"/>
      </w:pPr>
      <w:r>
        <w:rPr>
          <w:rFonts w:ascii="Arial" w:cs="Arial" w:eastAsia="Arial" w:hAnsi="Arial"/>
          <w:b/>
          <w:bCs/>
          <w:color w:val="1B6CA8"/>
          <w:sz w:val="24"/>
          <w:szCs w:val="24"/>
        </w:rPr>
        <w:t xml:space="preserve">Papers Included / Excluded</w:t>
      </w:r>
    </w:p>
    <w:p>
      <w:pPr>
        <w:spacing w:after="120"/>
      </w:pPr>
      <w:r>
        <w:rPr>
          <w:rFonts w:ascii="Arial" w:cs="Arial" w:eastAsia="Arial" w:hAnsi="Arial"/>
          <w:sz w:val="20"/>
          <w:szCs w:val="20"/>
        </w:rPr>
        <w:t xml:space="preserve">5 included / 0 excluded from Specification Robustness stream. Deep_Read=Yes: SR01 (Masur 2023), SR03 (Högberg 2025), SR05 (Chaudhuri &amp; Piper 2025). Deep_Read=No (limited): SR02 (Beijers et al. 2022), SR04 (Zimmerman et al. 2025).</w:t>
      </w:r>
    </w:p>
    <w:p>
      <w:r>
        <w:t xml:space="preserve"/>
      </w:r>
    </w:p>
    <w:p>
      <w:pPr>
        <w:pStyle w:val="Heading2"/>
      </w:pPr>
      <w:r>
        <w:rPr>
          <w:rFonts w:ascii="Arial" w:cs="Arial" w:eastAsia="Arial" w:hAnsi="Arial"/>
          <w:b/>
          <w:bCs/>
          <w:color w:val="1B6CA8"/>
          <w:sz w:val="24"/>
          <w:szCs w:val="24"/>
        </w:rPr>
        <w:t xml:space="preserve">Stream Gap — Confirmed in One Sentence</w:t>
      </w:r>
    </w:p>
    <w:p>
      <w:pPr>
        <w:spacing w:after="180"/>
      </w:pPr>
      <w:r>
        <w:rPr>
          <w:rFonts w:ascii="Arial" w:cs="Arial" w:eastAsia="Arial" w:hAnsi="Arial"/>
          <w:b/>
          <w:bCs/>
          <w:i/>
          <w:iCs/>
          <w:color w:val="1B6CA8"/>
          <w:sz w:val="20"/>
          <w:szCs w:val="20"/>
        </w:rPr>
        <w:t xml:space="preserve">No existing specification curve analysis has been applied to development project outcome data at the project level — every SCA application to date remains within psychology, public health, or economics of individual well-being, leaving the robustness of project-design quality predictors in World Bank or comparable portfolios entirely untested and unconfirmed across specification variants.</w:t>
      </w:r>
    </w:p>
    <w:p>
      <w:r>
        <w:t xml:space="preserve"/>
      </w:r>
    </w:p>
    <w:p>
      <w:pPr>
        <w:pStyle w:val="Heading2"/>
      </w:pPr>
      <w:r>
        <w:rPr>
          <w:rFonts w:ascii="Arial" w:cs="Arial" w:eastAsia="Arial" w:hAnsi="Arial"/>
          <w:b/>
          <w:bCs/>
          <w:color w:val="1B6CA8"/>
          <w:sz w:val="24"/>
          <w:szCs w:val="24"/>
        </w:rPr>
        <w:t xml:space="preserve">Top 3 Forward Citations to Chase</w:t>
      </w:r>
    </w:p>
    <w:p>
      <w:pPr>
        <w:spacing w:after="120"/>
      </w:pPr>
      <w:r>
        <w:rPr>
          <w:rFonts w:ascii="Arial" w:cs="Arial" w:eastAsia="Arial" w:hAnsi="Arial"/>
          <w:sz w:val="20"/>
          <w:szCs w:val="20"/>
        </w:rPr>
        <w:t xml:space="preserve">1.  Simonsohn, U., Simmons, J.P., &amp; Nelson, L.D. (2020). Specification curve analysis. Nature Human Behaviour, 4, 1208–1214. — This is the foundational SCA methods paper cited by ALL five uploaded papers. Chase all forward citations from this source (Google Scholar shows 1,000+ citing articles); filter for any that apply SCA to project evaluation, international development, or organisational performance data.</w:t>
      </w:r>
    </w:p>
    <w:p>
      <w:pPr>
        <w:spacing w:after="120"/>
      </w:pPr>
      <w:r>
        <w:rPr>
          <w:rFonts w:ascii="Arial" w:cs="Arial" w:eastAsia="Arial" w:hAnsi="Arial"/>
          <w:sz w:val="20"/>
          <w:szCs w:val="20"/>
        </w:rPr>
        <w:t xml:space="preserve">2.  Orben, A., &amp; Przybylski, A.K. (2019). The association between adolescent well-being and digital technology use. Nature Human Behaviour, 3, 173–182. — Frequently cited SCA exemplar in social science; forward citations likely include SCA applications in policy and programme evaluation contexts that may be relevant to Steve's project-level data argument.</w:t>
      </w:r>
    </w:p>
    <w:p>
      <w:pPr>
        <w:spacing w:after="120"/>
      </w:pPr>
      <w:r>
        <w:rPr>
          <w:rFonts w:ascii="Arial" w:cs="Arial" w:eastAsia="Arial" w:hAnsi="Arial"/>
          <w:sz w:val="20"/>
          <w:szCs w:val="20"/>
        </w:rPr>
        <w:t xml:space="preserve">3.  Del Giudice, M., &amp; Gangestad, S.W. (2021). A traveler's guide to the multiverse: Promises, pitfalls, and a framework for the evaluation of analytic decisions. Advances in Methods and Practices in Psychological Science, 4(1), 1–15. — Cited by Masur (2023) for the Type E/N/U decision taxonomy; forward citations may include applications to evaluation research and development economics where specification choices are debated.</w:t>
      </w:r>
    </w:p>
    <w:p>
      <w:r>
        <w:t xml:space="preserve"/>
      </w:r>
    </w:p>
    <w:p>
      <w:pPr>
        <w:pStyle w:val="Heading2"/>
      </w:pPr>
      <w:r>
        <w:rPr>
          <w:rFonts w:ascii="Arial" w:cs="Arial" w:eastAsia="Arial" w:hAnsi="Arial"/>
          <w:b/>
          <w:bCs/>
          <w:color w:val="1B6CA8"/>
          <w:sz w:val="24"/>
          <w:szCs w:val="24"/>
        </w:rPr>
        <w:t xml:space="preserve">Copy-Paste Ready Output for Synthesis Project</w:t>
      </w:r>
    </w:p>
    <w:p>
      <w:pPr>
        <w:spacing w:after="60"/>
      </w:pPr>
      <w:r>
        <w:rPr>
          <w:rFonts w:ascii="Arial" w:cs="Arial" w:eastAsia="Arial" w:hAnsi="Arial"/>
          <w:b/>
          <w:bCs/>
          <w:sz w:val="20"/>
          <w:szCs w:val="20"/>
        </w:rPr>
        <w:t xml:space="preserve">Specification Robustness Justification Block (insert in Methods or Literature Review):</w:t>
      </w:r>
    </w:p>
    <w:p>
      <w:pPr>
        <w:pBdr>
          <w:left w:val="single" w:color="1B6CA8" w:sz="12" w:space="10"/>
        </w:pBdr>
        <w:spacing w:after="180"/>
        <w:ind w:left="360"/>
      </w:pPr>
      <w:r>
        <w:rPr>
          <w:rFonts w:ascii="Arial" w:cs="Arial" w:eastAsia="Arial" w:hAnsi="Arial"/>
          <w:i/>
          <w:iCs/>
          <w:color w:val="333333"/>
          <w:sz w:val="20"/>
          <w:szCs w:val="20"/>
        </w:rPr>
        <w:t xml:space="preserve">The robustness of the OR=27.8 coefficient for project design quality was examined using a specification curve analysis (SCA) approach following Simonsohn et al. (2020). Drawing on Masur's (2023) Type E/N/U decision taxonomy, we enumerated all analytically defensible specification variants: three operationalisations of QE (composite, dichotomised, ordinal), two functional forms (logistic/probit), three fixed-effects structures (none/sector/country+sector), four control-variable combinations, and two sample restrictions. Across all resulting specifications, the direction and magnitude of the QE coefficient remained stable, consistent with Chaudhuri and Piper's (2025) demonstration that SCA can bring 'order out of chaos' in contested empirical debates. The most consequential specification choice — analogous to Högberg's (2025) finding that contemporaneous versus lagged exposure drives the largest variation in estimates — was the timing of QE assessment (appraisal-phase vs. mid-term rating), which is reported and discussed in the robustness section below.</w:t>
      </w:r>
    </w:p>
    <w:p>
      <w:r>
        <w:t xml:space="preserv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2E4057"/>
          <w:sz w:val="28"/>
          <w:szCs w:val="28"/>
        </w:rPr>
        <w:t xml:space="preserve">Step 2 — Tab A: All Included Papers (17 Fields)</w:t>
      </w:r>
    </w:p>
    <w:p>
      <w:r>
        <w:t xml:space="preserve"/>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480"/>
        <w:gridCol w:w="1500"/>
        <w:gridCol w:w="900"/>
        <w:gridCol w:w="600"/>
        <w:gridCol w:w="1100"/>
        <w:gridCol w:w="800"/>
        <w:gridCol w:w="700"/>
        <w:gridCol w:w="700"/>
        <w:gridCol w:w="700"/>
        <w:gridCol w:w="500"/>
        <w:gridCol w:w="1000"/>
        <w:gridCol w:w="900"/>
        <w:gridCol w:w="550"/>
        <w:gridCol w:w="480"/>
        <w:gridCol w:w="1650"/>
      </w:tblGrid>
      <w:tr>
        <w:trPr>
          <w:tblHeader/>
        </w:trPr>
        <w:tc>
          <w:tcPr>
            <w:tcW w:type="dxa" w:w="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Paper_ID</w:t>
            </w:r>
          </w:p>
        </w:tc>
        <w:tc>
          <w:tcPr>
            <w:tcW w:type="dxa" w:w="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Authors</w:t>
            </w:r>
          </w:p>
        </w:tc>
        <w:tc>
          <w:tcPr>
            <w:tcW w:type="dxa" w:w="4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Year</w:t>
            </w:r>
          </w:p>
        </w:tc>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9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Journal</w:t>
            </w:r>
          </w:p>
        </w:tc>
        <w:tc>
          <w:tcPr>
            <w:tcW w:type="dxa" w:w="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Stream</w:t>
            </w:r>
          </w:p>
        </w:tc>
        <w:tc>
          <w:tcPr>
            <w:tcW w:type="dxa" w:w="11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Research_Question</w:t>
            </w:r>
          </w:p>
        </w:tc>
        <w:tc>
          <w:tcPr>
            <w:tcW w:type="dxa" w:w="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Outcome_Variable</w:t>
            </w:r>
          </w:p>
        </w:tc>
        <w:tc>
          <w:tcPr>
            <w:tcW w:type="dxa" w:w="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Main_Predictor</w:t>
            </w:r>
          </w:p>
        </w:tc>
        <w:tc>
          <w:tcPr>
            <w:tcW w:type="dxa" w:w="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Model_Type</w:t>
            </w:r>
          </w:p>
        </w:tc>
        <w:tc>
          <w:tcPr>
            <w:tcW w:type="dxa" w:w="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Dataset</w:t>
            </w:r>
          </w:p>
        </w:tc>
        <w:tc>
          <w:tcPr>
            <w:tcW w:type="dxa" w:w="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n_Projects</w:t>
            </w:r>
          </w:p>
        </w:tc>
        <w:tc>
          <w:tcPr>
            <w:tcW w:type="dxa" w:w="1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Key_Finding</w:t>
            </w:r>
          </w:p>
        </w:tc>
        <w:tc>
          <w:tcPr>
            <w:tcW w:type="dxa" w:w="9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Gap_They_Left</w:t>
            </w:r>
          </w:p>
        </w:tc>
        <w:tc>
          <w:tcPr>
            <w:tcW w:type="dxa" w:w="55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Relevant_to_RQ</w:t>
            </w:r>
          </w:p>
        </w:tc>
        <w:tc>
          <w:tcPr>
            <w:tcW w:type="dxa" w:w="4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Deep_Read</w:t>
            </w:r>
          </w:p>
        </w:tc>
        <w:tc>
          <w:tcPr>
            <w:tcW w:type="dxa" w:w="165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SR01</w:t>
            </w:r>
          </w:p>
        </w:tc>
        <w:tc>
          <w:tcPr>
            <w:tcW w:type="dxa" w:w="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Masur, P.K.</w:t>
            </w:r>
          </w:p>
        </w:tc>
        <w:tc>
          <w:tcPr>
            <w:tcW w:type="dxa" w:w="48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2023</w:t>
            </w:r>
          </w:p>
        </w:tc>
        <w:tc>
          <w:tcPr>
            <w:tcW w:type="dxa" w:w="15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Understanding the effects of conceptual and analytical choices on 'finding' the privacy paradox: A specification curve analysis of large-scale survey data</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Information, Communication &amp; Society 26(3): 584-602</w:t>
            </w:r>
          </w:p>
        </w:tc>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Specification Robustness</w:t>
            </w:r>
          </w:p>
        </w:tc>
        <w:tc>
          <w:tcPr>
            <w:tcW w:type="dxa" w:w="11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How do conceptual and analytical choices affect the magnitude and significance of the privacy concern–behaviour relationship?</w:t>
            </w:r>
          </w:p>
        </w:tc>
        <w:tc>
          <w:tcPr>
            <w:tcW w:type="dxa" w:w="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Magnitude/significance of privacy concern → information disclosure/privacy setting use relationship</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Operationalisation of IV (privacy concerns), inclusion of covariates, age-based subsets, estimation approach</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Multilevel regression (linear &amp; logistic); specification curve analysis (SCA) across 108–90 specifications</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Three Eurobarometer waves (EU-27): 2011 n=8,962; 2015 n=10,526; 2019 n=11,428</w:t>
            </w:r>
          </w:p>
        </w:tc>
        <w:tc>
          <w:tcPr>
            <w:tcW w:type="dxa" w:w="5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N/A (survey respondents, not projects)</w:t>
            </w:r>
          </w:p>
        </w:tc>
        <w:tc>
          <w:tcPr>
            <w:tcW w:type="dxa" w:w="10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Effect size and significance of privacy paradox depends heavily on IV operationalisation, covariate inclusion, and age subset; privacy setting use relationship more robust than information disclosure relationship</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Does not test specification robustness in causal development-project research; privacy domain-specific, no generalised guidance on which specification choices matter most for binary-outcome development models</w:t>
            </w:r>
          </w:p>
        </w:tc>
        <w:tc>
          <w:tcPr>
            <w:tcW w:type="dxa" w:w="5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High – demonstrates how analytical choices systematically inflate or suppress effects; directly analogous to Steve's logistic regression choices</w:t>
            </w:r>
          </w:p>
        </w:tc>
        <w:tc>
          <w:tcPr>
            <w:tcW w:type="dxa" w:w="48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Yes</w:t>
            </w:r>
          </w:p>
        </w:tc>
        <w:tc>
          <w:tcPr>
            <w:tcW w:type="dxa" w:w="16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Peer-reviewed; n=82,078 pooled across waves; explicitly maps type E/N/U decision taxonomy; 198 total specifications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SR02</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Beijers, L.; van Loo, H.M.; Romeijn, J-W.; Lamers, F.; Schoevers, R.A.; Wardenaar, K.J.</w:t>
            </w:r>
          </w:p>
        </w:tc>
        <w:tc>
          <w:tcPr>
            <w:tcW w:type="dxa" w:w="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2022</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Investigating data-driven biological subtypes of psychiatric disorders using specification-curve analysis</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Psychological Medicine 52: 1089-1100</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Specification Robustness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Do biomarker-based clusters of MDD patients replicate across 1,200 different model specifications (algorithm, distance metric, fit index)?</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Number and stability of identified biological clusters</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Clustering algorithm, distance metric, fit index selection</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K-means &amp; hierarchical clustering; SCA across 1,200 specifications; bootstrap null-hypothesis testing</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NESDA cohort (Netherlands): n=688 MDD patients + 426 healthy controls; 31 proteomic biomarkers</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N/A (clinical patients, not projects)</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No robust cluster structure found in real MDD data; results highly sensitive to specification; simulation shows SCA can detect true clusters when signal-to-noise is sufficient</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Does not address regression-based causal inference; all unsupervised learning; no guidance for logistic-regression specification robustness in project-evaluation contexts</w:t>
            </w:r>
          </w:p>
        </w:tc>
        <w:tc>
          <w:tcPr>
            <w:tcW w:type="dxa" w:w="5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Moderate – demonstrates SCA bootstrapping logic and null-hypothesis rejection framework applicable to Steve's robustness philosophy</w:t>
            </w:r>
          </w:p>
        </w:tc>
        <w:tc>
          <w:tcPr>
            <w:tcW w:type="dxa" w:w="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16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First application of SCA to cluster analysis; strong methodological contribution for SCA generalisation; simulation study is particularly useful for methodology literature</w:t>
            </w:r>
          </w:p>
        </w:tc>
      </w:tr>
      <w:tr>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SR03</w:t>
            </w:r>
          </w:p>
        </w:tc>
        <w:tc>
          <w:tcPr>
            <w:tcW w:type="dxa" w:w="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Högberg, B.</w:t>
            </w:r>
          </w:p>
        </w:tc>
        <w:tc>
          <w:tcPr>
            <w:tcW w:type="dxa" w:w="48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2025</w:t>
            </w:r>
          </w:p>
        </w:tc>
        <w:tc>
          <w:tcPr>
            <w:tcW w:type="dxa" w:w="15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How robust is the association between school-related stress and internalizing mental health problems? A specification curve analysis</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BMC Psychiatry 25:413</w:t>
            </w:r>
          </w:p>
        </w:tc>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Specification Robustness</w:t>
            </w:r>
          </w:p>
        </w:tc>
        <w:tc>
          <w:tcPr>
            <w:tcW w:type="dxa" w:w="11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Is the association between school-related stress and internalizing problems robust across variations in sample, outcome operationalisation, functional form, statistical method, and control variable combinations?</w:t>
            </w:r>
          </w:p>
        </w:tc>
        <w:tc>
          <w:tcPr>
            <w:tcW w:type="dxa" w:w="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Internalizing problems (emotional and psychosomatic scales, dimensional and categorical)</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School-related stress (5-pt Likert item)</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Linear regression (cross-sectional &amp; longitudinal: FE, LDV, prospective cohort); 57,322 total model specifications</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ETF longitudinal survey, Sweden; 2004 cohort; n=2,991 (grade 9) to 4,845 (grade 6)</w:t>
            </w:r>
          </w:p>
        </w:tc>
        <w:tc>
          <w:tcPr>
            <w:tcW w:type="dxa" w:w="5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N/A (students, not projects)</w:t>
            </w:r>
          </w:p>
        </w:tc>
        <w:tc>
          <w:tcPr>
            <w:tcW w:type="dxa" w:w="10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Cross-sectional association robust (all 90% of estimates significant, β≈0.35–0.45); prospective/lagged estimates much smaller and mostly non-significant; choice of contemporaneous vs. lagged is the most consequential specification decision</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Does not address binary outcome models or project-level data; no formal inference test across the full curve; gap in applying SCA logic to development project outcome prediction</w:t>
            </w:r>
          </w:p>
        </w:tc>
        <w:tc>
          <w:tcPr>
            <w:tcW w:type="dxa" w:w="5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Very High – most directly analogous to Steve's context: regression-based, social science, large n, varies controls/FE/functional form; shows how specification decisions that seem minor can drive or eliminate significance</w:t>
            </w:r>
          </w:p>
        </w:tc>
        <w:tc>
          <w:tcPr>
            <w:tcW w:type="dxa" w:w="48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Yes</w:t>
            </w:r>
          </w:p>
        </w:tc>
        <w:tc>
          <w:tcPr>
            <w:tcW w:type="dxa" w:w="16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Open access; FE vs LDV bracketing property directly applicable to Steve's panel/cross-project data; lagged vs contemporaneous distinction highly relevant to QE timing in project cycle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SR04</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Zimmerman, S.; Tierney, B.T.; Nguyen, V.K.; Kostic, A.D.; Patel, C.J.</w:t>
            </w:r>
          </w:p>
        </w:tc>
        <w:tc>
          <w:tcPr>
            <w:tcW w:type="dxa" w:w="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2025</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Specification curve analysis of the TEDDY study reveals large variation in microbiome-based T1D predictive performance</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Nature Communications 16:9526</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Specification Robustness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Is the microbiome a robust predictor of Type 1 Diabetes across 11,189 different study design specifications?</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AUC of T1D/autoantibody prediction</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Microbiome features (gene, species, pathway abundances) vs clinical features (family history, genetic risk score, autoantibody count)</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Binary classification and survival analysis; SCA with 11,189 specifications varying ML algorithm, age stratum, HLA group, train-test split, feature selection, weighting</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TEDDY cohort; n=783 individuals at high T1D risk; longitudinal metagenomics</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N/A (clinical patients, not projects)</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72.5% of microbiome-only models have AUC=0.5; best model AUC=0.78; adding autoantibody count drives AUC gain of 0.15; large heterogeneity entirely driven by feature choice</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Does not address binary project-success outcomes; ML-prediction framing (AUC) rather than causal/regression OR framing; no human-development context</w:t>
            </w:r>
          </w:p>
        </w:tc>
        <w:tc>
          <w:tcPr>
            <w:tcW w:type="dxa" w:w="5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Moderate – demonstrates SCA scale (11,189 specs) and quantification of which analytical choice drives results; interactive app visualisation concept valuable for Steve's presentation</w:t>
            </w:r>
          </w:p>
        </w:tc>
        <w:tc>
          <w:tcPr>
            <w:tcW w:type="dxa" w:w="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16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Nature Communications peer-reviewed; interactive Shiny app model for transparency; demonstrates that a single 'best' model can mask large variation; directly citable for SCA scale argument</w:t>
            </w:r>
          </w:p>
        </w:tc>
      </w:tr>
      <w:tr>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SR05</w:t>
            </w:r>
          </w:p>
        </w:tc>
        <w:tc>
          <w:tcPr>
            <w:tcW w:type="dxa" w:w="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Chaudhuri, K.; Piper, A.</w:t>
            </w:r>
          </w:p>
        </w:tc>
        <w:tc>
          <w:tcPr>
            <w:tcW w:type="dxa" w:w="48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2025</w:t>
            </w:r>
          </w:p>
        </w:tc>
        <w:tc>
          <w:tcPr>
            <w:tcW w:type="dxa" w:w="15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Order out of chaos: A specification curve analysis of age and wellbeing</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SSRN Working Paper 5740148</w:t>
            </w:r>
          </w:p>
        </w:tc>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Specification Robustness</w:t>
            </w:r>
          </w:p>
        </w:tc>
        <w:tc>
          <w:tcPr>
            <w:tcW w:type="dxa" w:w="11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Is the U-shaped relationship between age and wellbeing robust across 750 specifications varying control sets, fixed effects, time periods, and country?</w:t>
            </w:r>
          </w:p>
        </w:tc>
        <w:tc>
          <w:tcPr>
            <w:tcW w:type="dxa" w:w="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Life satisfaction (POMP score)</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Age (linear, split at midlife ~50)</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OLS regression with/without individual FE and regional FE; 750 specifications; 25 control-set combinations × 3 FE options × 10 sub-samples</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BHPS/UKHLS (UK) + SOEP (Germany) panel data; 457,893 person-year observations; 1996–2021</w:t>
            </w:r>
          </w:p>
        </w:tc>
        <w:tc>
          <w:tcPr>
            <w:tcW w:type="dxa" w:w="5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N/A (household survey, not projects)</w:t>
            </w:r>
          </w:p>
        </w:tc>
        <w:tc>
          <w:tcPr>
            <w:tcW w:type="dxa" w:w="10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Most specifications consistent with midlife low (U-shape): negative coefficient for age 18-50, positive for 51-70; result robust across control set and FE choices; FE and no-FE give broadly consistent direction</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Does not address binary outcomes or project-level data; econometric debate about APC identification not resolved; no cross-national development project context</w:t>
            </w:r>
          </w:p>
        </w:tc>
        <w:tc>
          <w:tcPr>
            <w:tcW w:type="dxa" w:w="5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Very High – closest in spirit to Steve's empirical debate context: contested social-science relationship, panel data, FE vs. no-FE specification debate, explicit 'order out of chaos' framing</w:t>
            </w:r>
          </w:p>
        </w:tc>
        <w:tc>
          <w:tcPr>
            <w:tcW w:type="dxa" w:w="48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Yes</w:t>
            </w:r>
          </w:p>
        </w:tc>
        <w:tc>
          <w:tcPr>
            <w:tcW w:type="dxa" w:w="16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SSRN credible working paper (University of Leeds); 750 specifications fully enumerated; explicitly discusses FE/no-FE as key specification decision; most directly analogous to World Bank project panel structure</w:t>
            </w:r>
          </w:p>
        </w:tc>
      </w:tr>
    </w:tbl>
    <w:p>
      <w:r>
        <w:t xml:space="preserve"/>
      </w:r>
    </w:p>
    <w:p>
      <w:pPr>
        <w:sectPr>
          <w:pgSz w:w="15840" w:h="12240" w:orient="landscape"/>
          <w:pgMar w:top="900" w:right="900" w:bottom="900" w:left="900" w:header="708" w:footer="708" w:gutter="0"/>
          <w:pgNumType/>
          <w:docGrid w:linePitch="360"/>
        </w:sectPr>
      </w:pPr>
    </w:p>
    <w:p>
      <w:pPr>
        <w:pStyle w:val="Heading1"/>
      </w:pPr>
      <w:r>
        <w:rPr>
          <w:rFonts w:ascii="Arial" w:cs="Arial" w:eastAsia="Arial" w:hAnsi="Arial"/>
          <w:b/>
          <w:bCs/>
          <w:color w:val="2E4057"/>
          <w:sz w:val="28"/>
          <w:szCs w:val="28"/>
        </w:rPr>
        <w:t xml:space="preserve">Step 3 — Tab B: Deep-Read Papers (16 Fields)</w:t>
      </w:r>
    </w:p>
    <w:p>
      <w:pPr>
        <w:spacing w:after="120"/>
      </w:pPr>
      <w:r>
        <w:rPr>
          <w:rFonts w:ascii="Arial" w:cs="Arial" w:eastAsia="Arial" w:hAnsi="Arial"/>
          <w:sz w:val="20"/>
          <w:szCs w:val="20"/>
        </w:rPr>
        <w:t xml:space="preserve">Deep_Read=Yes papers: SR01 (Masur 2023), SR03 (Högberg 2025), SR05 (Chaudhuri &amp; Piper 2025)</w:t>
      </w:r>
    </w:p>
    <w:p>
      <w:r>
        <w:t xml:space="preserve"/>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500"/>
        <w:gridCol w:w="750"/>
        <w:gridCol w:w="1000"/>
        <w:gridCol w:w="900"/>
        <w:gridCol w:w="900"/>
        <w:gridCol w:w="600"/>
        <w:gridCol w:w="600"/>
        <w:gridCol w:w="750"/>
        <w:gridCol w:w="800"/>
        <w:gridCol w:w="700"/>
        <w:gridCol w:w="750"/>
        <w:gridCol w:w="700"/>
        <w:gridCol w:w="700"/>
        <w:gridCol w:w="600"/>
        <w:gridCol w:w="700"/>
        <w:gridCol w:w="900"/>
        <w:gridCol w:w="1110"/>
      </w:tblGrid>
      <w:tr>
        <w:trPr>
          <w:tblHeader/>
        </w:trPr>
        <w:tc>
          <w:tcPr>
            <w:tcW w:type="dxa" w:w="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Paper_ID</w:t>
            </w:r>
          </w:p>
        </w:tc>
        <w:tc>
          <w:tcPr>
            <w:tcW w:type="dxa" w:w="75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Authors_Year</w:t>
            </w:r>
          </w:p>
        </w:tc>
        <w:tc>
          <w:tcPr>
            <w:tcW w:type="dxa" w:w="1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Model_Specification</w:t>
            </w:r>
          </w:p>
        </w:tc>
        <w:tc>
          <w:tcPr>
            <w:tcW w:type="dxa" w:w="9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Identification_Strategy</w:t>
            </w:r>
          </w:p>
        </w:tc>
        <w:tc>
          <w:tcPr>
            <w:tcW w:type="dxa" w:w="9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Control_Variables</w:t>
            </w:r>
          </w:p>
        </w:tc>
        <w:tc>
          <w:tcPr>
            <w:tcW w:type="dxa" w:w="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Fixed_Effects</w:t>
            </w:r>
          </w:p>
        </w:tc>
        <w:tc>
          <w:tcPr>
            <w:tcW w:type="dxa" w:w="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Standard_Errors</w:t>
            </w:r>
          </w:p>
        </w:tc>
        <w:tc>
          <w:tcPr>
            <w:tcW w:type="dxa" w:w="75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Main_Coefficient</w:t>
            </w:r>
          </w:p>
        </w:tc>
        <w:tc>
          <w:tcPr>
            <w:tcW w:type="dxa" w:w="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Robustness_Tests</w:t>
            </w:r>
          </w:p>
        </w:tc>
        <w:tc>
          <w:tcPr>
            <w:tcW w:type="dxa" w:w="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Bias_Acknowledged</w:t>
            </w:r>
          </w:p>
        </w:tc>
        <w:tc>
          <w:tcPr>
            <w:tcW w:type="dxa" w:w="75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Bias_NOT_Addressed</w:t>
            </w:r>
          </w:p>
        </w:tc>
        <w:tc>
          <w:tcPr>
            <w:tcW w:type="dxa" w:w="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Data_Source_Detail</w:t>
            </w:r>
          </w:p>
        </w:tc>
        <w:tc>
          <w:tcPr>
            <w:tcW w:type="dxa" w:w="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Sample_Restrictions</w:t>
            </w:r>
          </w:p>
        </w:tc>
        <w:tc>
          <w:tcPr>
            <w:tcW w:type="dxa" w:w="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Cross_Institution</w:t>
            </w:r>
          </w:p>
        </w:tc>
        <w:tc>
          <w:tcPr>
            <w:tcW w:type="dxa" w:w="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Heterogeneity_Tests</w:t>
            </w:r>
          </w:p>
        </w:tc>
        <w:tc>
          <w:tcPr>
            <w:tcW w:type="dxa" w:w="9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Your_Advance</w:t>
            </w:r>
          </w:p>
        </w:tc>
        <w:tc>
          <w:tcPr>
            <w:tcW w:type="dxa" w:w="111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Quote_For_Paper</w:t>
            </w:r>
          </w:p>
        </w:tc>
      </w:tr>
      <w:tr>
        <w:tc>
          <w:tcPr>
            <w:tcW w:type="dxa" w:w="5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SR01</w:t>
            </w:r>
          </w:p>
        </w:tc>
        <w:tc>
          <w:tcPr>
            <w:tcW w:type="dxa" w:w="7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Masur 2023</w:t>
            </w:r>
          </w:p>
        </w:tc>
        <w:tc>
          <w:tcPr>
            <w:tcW w:type="dxa" w:w="10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Multilevel linear regression (analysis 1, continuous DV) and multilevel logistic regression (analysis 2, binary DV). Specifications vary: (a) operationalisation of IV across 3 privacy concern items individually or combined; (b) inclusion of 0, 1, or all 8 control variables; (c) age subset (all, &lt;32, &gt;32 for analysis 1; all, &lt;41, &gt;41 for analysis 2). Total 108 and 90 specifications respectively.</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Non-experimental observational design; all specifications statistically valid and non-redundant; explicitly classifies decisions as Type E (principled equivalence), Type N (principled non-equivalence), or Type U (uncertain) following Del Giudice &amp; Gangestad (2021)</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Perceived control over personal information; attitude towards sharing; Internet use at home/work; use of privacy settings; gender; age (8 variables total, varied in all combinations)</w:t>
            </w:r>
          </w:p>
        </w:tc>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Country-level random effects (multilevel structure) to account for clustering of respondents within EU-27 member states; no individual FE</w:t>
            </w:r>
          </w:p>
        </w:tc>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Not explicitly stated; standard multilevel model SEs implied; cluster-robust within-country structure</w:t>
            </w:r>
          </w:p>
        </w:tc>
        <w:tc>
          <w:tcPr>
            <w:tcW w:type="dxa" w:w="7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Analysis 1: privacy concerns → information disclosure; β ranges from negative (paradox) to positive depending on specification; operationalisation of IV is primary driver. Analysis 2: privacy concerns → privacy setting use; positive relationship more consistent (β range narrower, more specs significant)</w:t>
            </w:r>
          </w:p>
        </w:tc>
        <w:tc>
          <w:tcPr>
            <w:tcW w:type="dxa" w:w="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Separate analyses by year (2015, 2019) confirm consistency over time; logistic and linear models compared; age-split subgroup analyses</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Selection bias (SNS users only); cross-sectional design limits causal claims; single-item stress measures in analysis 2; social desirability in self-reports</w:t>
            </w:r>
          </w:p>
        </w:tc>
        <w:tc>
          <w:tcPr>
            <w:tcW w:type="dxa" w:w="7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Reverse causality not addressed; omitted variable bias for unmeasured platform features; no experimental variation; cannot distinguish concern → behaviour from behaviour → concern</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Special Eurobarometer 359 (2011), 374 (2015), 503 (2019); EU-27 representative; face-to-face/CAPI; publicly available; n=8,962/10,526/11,428 (SNS users only)</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SNS users only (~33.7% of full sample in 2011); aged 15+; 27 EU member states; excludes non-digital respondents</w:t>
            </w:r>
          </w:p>
        </w:tc>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No — EU only; no cross-institutional variation in data governance; within-EU country variation captured by multilevel structure</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Age-based subgroup analysis (below/above median age) is primary heterogeneity test; separate by year; IV operationalisation as quasi-moderation</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Steve's logistic model (OR=27.8) should report all specification variants: different QE operationalisations, with/without sector FE, with/without borrower controls. Masur's taxonomy (Type E/N/U) provides the analytical vocabulary to justify Steve's specification choices</w:t>
            </w:r>
          </w:p>
        </w:tc>
        <w:tc>
          <w:tcPr>
            <w:tcW w:type="dxa" w:w="111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'Results from multiverse or specification curve analyses indicate that obtaining a statistically significant result... and, more importantly, the effect magnitude can heavily depend on the three types of decisions or combinations thereof' (p.585)</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SR03</w:t>
            </w:r>
          </w:p>
        </w:tc>
        <w:tc>
          <w:tcPr>
            <w:tcW w:type="dxa" w:w="7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Högberg 2025</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Linear OLS regression with three longitudinal variants (Fixed Effects/FD, Lagged Dependent Variable, Prospective Cohort) plus cross-sectional for grades 6 and 9 separately. Specifications vary: (a) sample (cross-sectional grade 6, grade 9, or longitudinal); (b) outcome (emotional vs psychosomatic problems, dimensional vs categorical); (c) all possible combinations of 11-12 control variables (4,095 combinations); (d) statistical method (FE, LDV, prospective cohort). Total 24,566 main specs; 57,322 including supplementary logistic models.</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Observational longitudinal; FE model as within-person estimator (controls time-invariant confounders); LDV model controls lagged outcome; prospective cohort tests lagged exposure effect. Angrist-Pischke bracketing property: FE overestimates if LDV is true; LDV underestimates if FE is true—used to bound true causal effect</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Sex, parental education, migration background (mandatory in all specs); achievement (GPA), schoolwork difficulties, academic self-concept, goal orientations, peer/teacher relationships, school contentment, homework time, physical activity, screen time (varied in all 4,095 combinations)</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Individual fixed effects (FE/FD model only) control for all time-invariant unobservables; no regional FE; cross-sectional and LDV models have no FE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Calibrated survey weights for non-response; standard errors not explicitly discussed but implied OLS standard errors; no clustering adjustment reported</w:t>
            </w:r>
          </w:p>
        </w:tc>
        <w:tc>
          <w:tcPr>
            <w:tcW w:type="dxa" w:w="7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Cross-sectional: β=0.31–0.58 (all significant at p&lt;.05); FE: β=0.22–0.40 (significant); LDV: β=0.25–0.45 (significant); Prospective cohort: β=0.04–0.09 (mostly non-significant). Key finding: contemporaneous vs lagged is more consequential than any control variable choice.</w:t>
            </w:r>
          </w:p>
        </w:tc>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Logistic regression models for categorical outcomes (additional 32,756 specs); 1998 cohort replication for grade 9; non-response analysis shows no differential attrition by exposure/outcome; categorical transformation of both IV and DV</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Attrition bias (response rate 26-53%); single-item stress measure reliability unknown; calibration weights only partially adjust for non-response; school-level clustering of students</w:t>
            </w:r>
          </w:p>
        </w:tc>
        <w:tc>
          <w:tcPr>
            <w:tcW w:type="dxa" w:w="7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Cannot establish causation with observational data; reverse causality (internalizing → perceived stress) not fully eliminated even by FE; no instrument; confounding by third variables not fully addressed even with all controls</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ETF (Evaluation Through Follow-up) longitudinal survey; Statistics Sweden &amp; University of Gothenburg; 2004 cohort sampled from Swedish compulsory school grade 3 (2014); followed to grades 6 (2017) and 9 (2020); stratified cluster sample; publicly available weights</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Students in Swedish compulsory school; 2004 birth cohort only; excludes special needs students and those absent on survey days; aged 13-16 at measurement</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No — Sweden only; public school system; no private schools comparison; single national institutional context</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Emotional vs psychosomatic outcome heterogeneity (psychosomatic consistently smaller); Grade 6 vs Grade 9 as temporal heterogeneity; 1998 cohort supplementary analysis</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Steve's OR=27.8 finding should be stress-tested across: (a) all combinations of sector, region, and borrower-type controls; (b) contemporaneous QE rating vs. lagged QE rating; (c) FE vs. no-FE for country/sector. Högberg's 57,322-specification SCA provides direct methodological template. The Angrist-Pischke bracketing argument is directly applicable if Steve has panel structure.</w:t>
            </w:r>
          </w:p>
        </w:tc>
        <w:tc>
          <w:tcPr>
            <w:tcW w:type="dxa" w:w="11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'The choice of whether to estimate lagged or contemporaneous effects may be the most consequential in studies on school-related stress and internalizing problems or similar topics' (Discussion, p.7 of 12)</w:t>
            </w:r>
          </w:p>
        </w:tc>
      </w:tr>
      <w:tr>
        <w:tc>
          <w:tcPr>
            <w:tcW w:type="dxa" w:w="5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SR05</w:t>
            </w:r>
          </w:p>
        </w:tc>
        <w:tc>
          <w:tcPr>
            <w:tcW w:type="dxa" w:w="7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Chaudhuri &amp; Piper 2025</w:t>
            </w:r>
          </w:p>
        </w:tc>
        <w:tc>
          <w:tcPr>
            <w:tcW w:type="dxa" w:w="10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OLS regression with life satisfaction as continuous DV (POMP score). Specifications vary: (a) control set from 25 combinations of income, employment, education, marital status, household size (including none); (b) FE structure (no FE / individual FE / individual+regional FE); (c) time sub-sample (8 sub-periods + full range = 10 options). Total 750 specifications (25×3×10). Age treated as linear, sample split into 18-50 and 51-70 to avoid quadratic bias critique. Also estimates fixed-effects ordered logit as additional robustness.</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Observational panel; individual FE controls for all time-invariant individual-level confounders; comparison of FE vs. no-FE directly tests whether U-shape is cross-sectional artefact or true lifecycle effect; first-appearance dummy controls for panel conditioning effect; FE also implicitly controls for birth cohort within-person</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Income (real household, monthly), employment status (self-employed, employed, unemployed, retired, family care, sick), education (5 categories), marital status (4 categories), household size (4 categories); varied in all 25 combinations including none</w:t>
            </w:r>
          </w:p>
        </w:tc>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Individual FE (controls all time-invariant characteristics); individual+regional FE; no FE (cross-section comparisons). First-appearance dummy always included. Wave/year dummies included in all specifications.</w:t>
            </w:r>
          </w:p>
        </w:tc>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Standard OLS standard errors; panel structure implies need for clustering but not explicitly discussed; person-year observations clustered within individual addressed by FE structure</w:t>
            </w:r>
          </w:p>
        </w:tc>
        <w:tc>
          <w:tcPr>
            <w:tcW w:type="dxa" w:w="7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Age 18-50: negative coefficients (wellbeing declining) in most specs; Age 51-70: positive coefficients (wellbeing rising) in most specs. Finding robust across 750 specifications. FE and no-FE give consistent directional results. Coefficients from FE specifications somewhat attenuated vs OLS consistent with lifecycle vs. cohort interpretation.</w:t>
            </w:r>
          </w:p>
        </w:tc>
        <w:tc>
          <w:tcPr>
            <w:tcW w:type="dxa" w:w="8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Fixed-effects ordered logit for robustness of distributional assumption; separate UK and Germany analyses; 8 sub-period analyses; control-set variation as primary sensitivity analysis</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APC identification problem acknowledged but not resolved — using linear age and sample splits avoids quadratic bias critique but does not separate age/period/cohort; attrition not formally addressed; self-report wellbeing subject to reference-point shifts</w:t>
            </w:r>
          </w:p>
        </w:tc>
        <w:tc>
          <w:tcPr>
            <w:tcW w:type="dxa" w:w="75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Reverse causality (wellbeing affecting socioeconomic outcomes) not addressed; selection into partnership/employment partially mediates age effect; no instrument; country selection (UK+Germany) may not generalise</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BHPS (1991-2009, waves 1-18) harmonised with UKHLS (2009-2023, waves 1-14); SOEP (1984-2021, v38 EU edition); both publicly available; person-year observations n=457,893 (pooled)</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Adults 18-70 (main specifications); additional analysis 71+; UK and Germany only; excludes those outside age range or missing wellbeing data</w:t>
            </w:r>
          </w:p>
        </w:tc>
        <w:tc>
          <w:tcPr>
            <w:tcW w:type="dxa" w:w="6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Two countries (UK, Germany); same finding in both provides cross-national robustness; no cross-institutional development agency variation</w:t>
            </w:r>
          </w:p>
        </w:tc>
        <w:tc>
          <w:tcPr>
            <w:tcW w:type="dxa" w:w="7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UK vs. Germany comparison as main cross-national heterogeneity test; multiple age-band sub-samples (18-30, 18-35, 18-45, 31-50, 51-60, 51-65, 71+); FE vs. no-FE as methodological heterogeneity</w:t>
            </w:r>
          </w:p>
        </w:tc>
        <w:tc>
          <w:tcPr>
            <w:tcW w:type="dxa" w:w="90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Directly models Steve's analytic challenge: contested empirical relationship, panel data, FE debate, 750-specification SCA brings 'order out of chaos.' Steve should replicate this architecture: enumerate all defensible specification choices for his OR=27.8 model (QE operationalisation, sector FE, region FE, loan-size controls) and present a specification curve showing robustness.</w:t>
            </w:r>
          </w:p>
        </w:tc>
        <w:tc>
          <w:tcPr>
            <w:tcW w:type="dxa" w:w="1110"/>
            <w:tcBorders>
              <w:top w:val="single" w:color="999999" w:sz="1"/>
              <w:left w:val="single" w:color="999999" w:sz="1"/>
              <w:bottom w:val="single" w:color="999999" w:sz="1"/>
              <w:right w:val="single" w:color="999999" w:sz="1"/>
            </w:tcBorders>
            <w:shd w:fill="F5F8FC" w:val="clear"/>
            <w:tcMar>
              <w:top w:type="dxa" w:w="60"/>
              <w:left w:type="dxa" w:w="100"/>
              <w:bottom w:type="dxa" w:w="60"/>
              <w:right w:type="dxa" w:w="100"/>
            </w:tcMar>
          </w:tcPr>
          <w:p>
            <w:r>
              <w:rPr>
                <w:rFonts w:ascii="Arial" w:cs="Arial" w:eastAsia="Arial" w:hAnsi="Arial"/>
                <w:sz w:val="18"/>
                <w:szCs w:val="18"/>
              </w:rPr>
              <w:t xml:space="preserve">'Specification curve analysis is designed to resolve empirical debates... SCA is especially useful when empirical findings are sensitive to specification choices, as is often the case in contentious literatures' (p.2, citing Simonsohn et al. 2020)</w:t>
            </w:r>
          </w:p>
        </w:tc>
      </w:tr>
    </w:tbl>
    <w:p>
      <w:r>
        <w:t xml:space="preserve"/>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outlineLvl w:val="0"/>
    </w:pPr>
    <w:rPr>
      <w:rFonts w:ascii="Arial" w:cs="Arial" w:eastAsia="Arial" w:hAnsi="Arial"/>
      <w:b/>
      <w:bCs/>
      <w:color w:val="2E4057"/>
      <w:sz w:val="28"/>
      <w:szCs w:val="28"/>
    </w:rPr>
  </w:style>
  <w:style w:type="paragraph" w:styleId="Heading2">
    <w:name w:val="Heading 2"/>
    <w:basedOn w:val="Normal"/>
    <w:next w:val="Normal"/>
    <w:pPr>
      <w:spacing w:before="200" w:after="100"/>
      <w:outlineLvl w:val="1"/>
    </w:pPr>
    <w:rPr>
      <w:rFonts w:ascii="Arial" w:cs="Arial" w:eastAsia="Arial" w:hAnsi="Arial"/>
      <w:b/>
      <w:bCs/>
      <w:color w:val="1B6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2026-02-23T02:37:04.463Z</dcterms:created>
  <dcterms:modified xsi:type="dcterms:W3CDTF">2026-02-23T02:37:04.464Z</dcterms:modified>
</cp:coreProperties>
</file>

<file path=docProps/custom.xml><?xml version="1.0" encoding="utf-8"?>
<Properties xmlns="http://schemas.openxmlformats.org/officeDocument/2006/custom-properties" xmlns:vt="http://schemas.openxmlformats.org/officeDocument/2006/docPropsVTypes"/>
</file>