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2E4057"/>
          <w:sz w:val="48"/>
          <w:szCs w:val="48"/>
        </w:rPr>
        <w:t xml:space="preserve">SYSTEMATIC LITERATURE CODING</w:t>
      </w:r>
    </w:p>
    <w:p>
      <w:pPr>
        <w:spacing w:after="160"/>
        <w:jc w:val="center"/>
      </w:pPr>
      <w:r>
        <w:rPr>
          <w:rFonts w:ascii="Arial" w:cs="Arial" w:eastAsia="Arial" w:hAnsi="Arial"/>
          <w:b/>
          <w:bCs/>
          <w:color w:val="4A7C59"/>
          <w:sz w:val="32"/>
          <w:szCs w:val="32"/>
        </w:rPr>
        <w:t xml:space="preserve">Causal Identification in Development Stream</w:t>
      </w:r>
    </w:p>
    <w:p>
      <w:pPr>
        <w:spacing w:after="160"/>
        <w:jc w:val="center"/>
      </w:pPr>
      <w:r>
        <w:rPr>
          <w:rFonts w:ascii="Arial" w:cs="Arial" w:eastAsia="Arial" w:hAnsi="Arial"/>
          <w:color w:val="555555"/>
          <w:sz w:val="24"/>
          <w:szCs w:val="24"/>
        </w:rPr>
        <w:t xml:space="preserve">PhD Research Project — Steve Brandon, QUT/Griffith University</w:t>
      </w:r>
    </w:p>
    <w:p>
      <w:pPr>
        <w:spacing w:after="600"/>
        <w:jc w:val="center"/>
      </w:pPr>
      <w:r>
        <w:rPr>
          <w:rFonts w:ascii="Arial" w:cs="Arial" w:eastAsia="Arial" w:hAnsi="Arial"/>
          <w:i/>
          <w:iCs/>
          <w:color w:val="888888"/>
          <w:sz w:val="22"/>
          <w:szCs w:val="22"/>
        </w:rPr>
        <w:t xml:space="preserve">Generated: 23 February 2026</w:t>
      </w:r>
    </w:p>
    <w:p>
      <w:pPr>
        <w:pStyle w:val="Heading1"/>
      </w:pPr>
      <w:r>
        <w:rPr>
          <w:rFonts w:ascii="Arial" w:cs="Arial" w:eastAsia="Arial" w:hAnsi="Arial"/>
          <w:b/>
          <w:bCs/>
          <w:color w:val="2E4057"/>
          <w:sz w:val="32"/>
          <w:szCs w:val="32"/>
        </w:rPr>
        <w:t xml:space="preserve">Research Context</w:t>
      </w:r>
    </w:p>
    <w:p>
      <w:pPr>
        <w:spacing w:after="120"/>
      </w:pPr>
      <w:r>
        <w:rPr>
          <w:rFonts w:ascii="Arial" w:cs="Arial" w:eastAsia="Arial" w:hAnsi="Arial"/>
          <w:sz w:val="20"/>
          <w:szCs w:val="20"/>
        </w:rPr>
        <w:t xml:space="preserve">Steve Brandon (PhD candidate, QUT/Griffith) has identified an OR=27.8 showing that development project design quality (Quality at Entry, QE) predicts satisfactory outcomes across 12,328 World Bank projects. This systematic coding exercise reverse-engineers the justification chain:</w:t>
      </w:r>
    </w:p>
    <w:p>
      <w:pPr>
        <w:spacing w:after="80"/>
        <w:ind w:left="360"/>
      </w:pPr>
      <w:r>
        <w:rPr>
          <w:rFonts w:ascii="Arial" w:cs="Arial" w:eastAsia="Arial" w:hAnsi="Arial"/>
          <w:sz w:val="20"/>
          <w:szCs w:val="20"/>
        </w:rPr>
        <w:t xml:space="preserve">•  Literature → identifies what is already known and the gap</w:t>
      </w:r>
    </w:p>
    <w:p>
      <w:pPr>
        <w:spacing w:after="80"/>
        <w:ind w:left="360"/>
      </w:pPr>
      <w:r>
        <w:rPr>
          <w:rFonts w:ascii="Arial" w:cs="Arial" w:eastAsia="Arial" w:hAnsi="Arial"/>
          <w:sz w:val="20"/>
          <w:szCs w:val="20"/>
        </w:rPr>
        <w:t xml:space="preserve">•  Gap → no prior study uses QE as a direct pre-approval design quality predictor at scale</w:t>
      </w:r>
    </w:p>
    <w:p>
      <w:pPr>
        <w:spacing w:after="80"/>
        <w:ind w:left="360"/>
      </w:pPr>
      <w:r>
        <w:rPr>
          <w:rFonts w:ascii="Arial" w:cs="Arial" w:eastAsia="Arial" w:hAnsi="Arial"/>
          <w:sz w:val="20"/>
          <w:szCs w:val="20"/>
        </w:rPr>
        <w:t xml:space="preserve">•  Question → Does QE at approval predict IEG outcome ratings?</w:t>
      </w:r>
    </w:p>
    <w:p>
      <w:pPr>
        <w:spacing w:after="80"/>
        <w:ind w:left="360"/>
      </w:pPr>
      <w:r>
        <w:rPr>
          <w:rFonts w:ascii="Arial" w:cs="Arial" w:eastAsia="Arial" w:hAnsi="Arial"/>
          <w:sz w:val="20"/>
          <w:szCs w:val="20"/>
        </w:rPr>
        <w:t xml:space="preserve">•  Model → Logit/probit on IEG binary satisfactory outcome</w:t>
      </w:r>
    </w:p>
    <w:p>
      <w:pPr>
        <w:spacing w:after="80"/>
        <w:ind w:left="360"/>
      </w:pPr>
      <w:r>
        <w:rPr>
          <w:rFonts w:ascii="Arial" w:cs="Arial" w:eastAsia="Arial" w:hAnsi="Arial"/>
          <w:sz w:val="20"/>
          <w:szCs w:val="20"/>
        </w:rPr>
        <w:t xml:space="preserve">•  Data → 12,328 World Bank projects with QE and IEG ratings</w:t>
      </w:r>
    </w:p>
    <w:p>
      <w:pPr>
        <w:spacing w:after="300"/>
        <w:ind w:left="360"/>
      </w:pPr>
      <w:r>
        <w:rPr>
          <w:rFonts w:ascii="Arial" w:cs="Arial" w:eastAsia="Arial" w:hAnsi="Arial"/>
          <w:sz w:val="20"/>
          <w:szCs w:val="20"/>
        </w:rPr>
        <w:t xml:space="preserve">•  Result → OR=27.8</w:t>
      </w:r>
    </w:p>
    <w:p>
      <w:pPr>
        <w:pStyle w:val="Heading1"/>
      </w:pPr>
      <w:r>
        <w:rPr>
          <w:rFonts w:ascii="Arial" w:cs="Arial" w:eastAsia="Arial" w:hAnsi="Arial"/>
          <w:b/>
          <w:bCs/>
          <w:color w:val="2E4057"/>
          <w:sz w:val="32"/>
          <w:szCs w:val="32"/>
        </w:rPr>
        <w:t xml:space="preserve">Step 1 — Inclusion/Exclusion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Decision</w:t>
            </w:r>
          </w:p>
        </w:tc>
        <w:tc>
          <w:tcPr>
            <w:tcW w:type="dxa" w:w="636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Papers</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00"/>
              <w:bottom w:type="dxa" w:w="80"/>
              <w:right w:type="dxa" w:w="100"/>
            </w:tcMar>
          </w:tcPr>
          <w:p>
            <w:r>
              <w:rPr>
                <w:rFonts w:ascii="Arial" w:cs="Arial" w:eastAsia="Arial" w:hAnsi="Arial"/>
                <w:sz w:val="18"/>
                <w:szCs w:val="18"/>
              </w:rPr>
              <w:t xml:space="preserve">INCLUDED (quantitative + regression + development projects + project-level data)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LEE2016 (Lee 2016 — World Bank education projects), KRYG2020 (Kryg 2020 — EBRD investments)</w:t>
            </w:r>
          </w:p>
        </w:tc>
      </w:tr>
      <w:tr>
        <w:tc>
          <w:tcPr>
            <w:tcW w:type="dxa" w:w="3000"/>
            <w:tcBorders>
              <w:top w:val="single" w:color="AAAAAA" w:sz="1"/>
              <w:left w:val="single" w:color="AAAAAA" w:sz="1"/>
              <w:bottom w:val="single" w:color="AAAAAA" w:sz="1"/>
              <w:right w:val="single" w:color="AAAAAA" w:sz="1"/>
            </w:tcBorders>
            <w:shd w:fill="FFEBEE" w:val="clear"/>
            <w:tcMar>
              <w:top w:type="dxa" w:w="80"/>
              <w:left w:type="dxa" w:w="100"/>
              <w:bottom w:type="dxa" w:w="80"/>
              <w:right w:type="dxa" w:w="100"/>
            </w:tcMar>
          </w:tcPr>
          <w:p>
            <w:r>
              <w:rPr>
                <w:rFonts w:ascii="Arial" w:cs="Arial" w:eastAsia="Arial" w:hAnsi="Arial"/>
                <w:sz w:val="18"/>
                <w:szCs w:val="18"/>
              </w:rPr>
              <w:t xml:space="preserve">EXCLUDED — Macro-only (no project-level data)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LIM2021 (Lim &amp; Liu 2021 — regional SVAR), RAJSINGHA2022 (book preview — Indian reforms)</w:t>
            </w:r>
          </w:p>
        </w:tc>
      </w:tr>
      <w:tr>
        <w:tc>
          <w:tcPr>
            <w:tcW w:type="dxa" w:w="3000"/>
            <w:tcBorders>
              <w:top w:val="single" w:color="AAAAAA" w:sz="1"/>
              <w:left w:val="single" w:color="AAAAAA" w:sz="1"/>
              <w:bottom w:val="single" w:color="AAAAAA" w:sz="1"/>
              <w:right w:val="single" w:color="AAAAAA" w:sz="1"/>
            </w:tcBorders>
            <w:shd w:fill="FFEBEE" w:val="clear"/>
            <w:tcMar>
              <w:top w:type="dxa" w:w="80"/>
              <w:left w:type="dxa" w:w="100"/>
              <w:bottom w:type="dxa" w:w="80"/>
              <w:right w:type="dxa" w:w="100"/>
            </w:tcMar>
          </w:tcPr>
          <w:p>
            <w:r>
              <w:rPr>
                <w:rFonts w:ascii="Arial" w:cs="Arial" w:eastAsia="Arial" w:hAnsi="Arial"/>
                <w:sz w:val="18"/>
                <w:szCs w:val="18"/>
              </w:rPr>
              <w:t xml:space="preserve">EXCLUDED — Individual/household unit of analysis (not development project level)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JIMI2021 (Jimi 2021 — school lottery + credit + RDD), DO2024 (Do 2024 — Vietnam rural households), SEKWATI2015 (Sekwati 2015 — Botswana SMEs), PRODUCTIVITYPAPER (Tanzania sunflower farms)</w:t>
            </w:r>
          </w:p>
        </w:tc>
      </w:tr>
      <w:tr>
        <w:tc>
          <w:tcPr>
            <w:tcW w:type="dxa" w:w="3000"/>
            <w:tcBorders>
              <w:top w:val="single" w:color="AAAAAA" w:sz="1"/>
              <w:left w:val="single" w:color="AAAAAA" w:sz="1"/>
              <w:bottom w:val="single" w:color="AAAAAA" w:sz="1"/>
              <w:right w:val="single" w:color="AAAAAA" w:sz="1"/>
            </w:tcBorders>
            <w:shd w:fill="E3F2FD" w:val="clear"/>
            <w:tcMar>
              <w:top w:type="dxa" w:w="80"/>
              <w:left w:type="dxa" w:w="100"/>
              <w:bottom w:type="dxa" w:w="80"/>
              <w:right w:type="dxa" w:w="100"/>
            </w:tcMar>
          </w:tcPr>
          <w:p>
            <w:r>
              <w:rPr>
                <w:rFonts w:ascii="Arial" w:cs="Arial" w:eastAsia="Arial" w:hAnsi="Arial"/>
                <w:sz w:val="18"/>
                <w:szCs w:val="18"/>
              </w:rPr>
              <w:t xml:space="preserve">TOTALS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 included = 2 | n excluded = 6</w:t>
            </w:r>
          </w:p>
        </w:tc>
      </w:tr>
    </w:tbl>
    <w:p>
      <w:pPr>
        <w:spacing w:after="300"/>
      </w:pPr>
    </w:p>
    <w:p>
      <w:pPr>
        <w:pStyle w:val="Heading1"/>
      </w:pPr>
      <w:r>
        <w:rPr>
          <w:rFonts w:ascii="Arial" w:cs="Arial" w:eastAsia="Arial" w:hAnsi="Arial"/>
          <w:b/>
          <w:bCs/>
          <w:color w:val="2E4057"/>
          <w:sz w:val="32"/>
          <w:szCs w:val="32"/>
        </w:rPr>
        <w:t xml:space="preserve">Tab A — All Included Papers: Identity &amp; Research Design</w:t>
      </w:r>
    </w:p>
    <w:p>
      <w:pPr>
        <w:spacing w:after="160"/>
      </w:pPr>
      <w:r>
        <w:rPr>
          <w:rFonts w:ascii="Arial" w:cs="Arial" w:eastAsia="Arial" w:hAnsi="Arial"/>
          <w:i/>
          <w:iCs/>
          <w:color w:val="555555"/>
          <w:sz w:val="18"/>
          <w:szCs w:val="18"/>
        </w:rPr>
        <w:t xml:space="preserve">Columns: Paper_ID | Authors | Year | Title | Journal | Stream | Research_Question | Outcome_Variable | Main_Predictor | Model_Type | Dataset/n_Projects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50"/>
        <w:gridCol w:w="380"/>
        <w:gridCol w:w="1300"/>
        <w:gridCol w:w="900"/>
        <w:gridCol w:w="900"/>
        <w:gridCol w:w="1300"/>
        <w:gridCol w:w="900"/>
        <w:gridCol w:w="700"/>
        <w:gridCol w:w="700"/>
        <w:gridCol w:w="830"/>
      </w:tblGrid>
      <w:tr>
        <w:trPr>
          <w:tblHeader/>
        </w:trPr>
        <w:tc>
          <w:tcPr>
            <w:tcW w:type="dxa" w:w="7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7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Authors</w:t>
            </w:r>
          </w:p>
        </w:tc>
        <w:tc>
          <w:tcPr>
            <w:tcW w:type="dxa" w:w="38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Year</w:t>
            </w:r>
          </w:p>
        </w:tc>
        <w:tc>
          <w:tcPr>
            <w:tcW w:type="dxa" w:w="13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Title</w:t>
            </w:r>
          </w:p>
        </w:tc>
        <w:tc>
          <w:tcPr>
            <w:tcW w:type="dxa" w:w="9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Journal</w:t>
            </w:r>
          </w:p>
        </w:tc>
        <w:tc>
          <w:tcPr>
            <w:tcW w:type="dxa" w:w="9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Stream</w:t>
            </w:r>
          </w:p>
        </w:tc>
        <w:tc>
          <w:tcPr>
            <w:tcW w:type="dxa" w:w="13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Research_Question</w:t>
            </w:r>
          </w:p>
        </w:tc>
        <w:tc>
          <w:tcPr>
            <w:tcW w:type="dxa" w:w="9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Outcome</w:t>
            </w:r>
          </w:p>
        </w:tc>
        <w:tc>
          <w:tcPr>
            <w:tcW w:type="dxa" w:w="7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Main_Predictor</w:t>
            </w:r>
          </w:p>
        </w:tc>
        <w:tc>
          <w:tcPr>
            <w:tcW w:type="dxa" w:w="7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Model</w:t>
            </w:r>
          </w:p>
        </w:tc>
        <w:tc>
          <w:tcPr>
            <w:tcW w:type="dxa" w:w="83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Dataset/n</w:t>
            </w:r>
          </w:p>
        </w:tc>
      </w:tr>
      <w:tr>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LEE2016</w:t>
            </w:r>
          </w:p>
        </w:tc>
        <w:tc>
          <w:tcPr>
            <w:tcW w:type="dxa" w:w="75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Bommi Lee</w:t>
            </w:r>
          </w:p>
        </w:tc>
        <w:tc>
          <w:tcPr>
            <w:tcW w:type="dxa" w:w="38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2016</w:t>
            </w:r>
          </w:p>
        </w:tc>
        <w:tc>
          <w:tcPr>
            <w:tcW w:type="dxa" w:w="13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What makes a good project? Success factors of the World Bank education development projects</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PhD Dissertation, Vanderbilt University</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Project-level determinants of MDB outcomes</w:t>
            </w:r>
          </w:p>
        </w:tc>
        <w:tc>
          <w:tcPr>
            <w:tcW w:type="dxa" w:w="13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What project-level and country-level characteristics explain variation in World Bank education project performance ratings?</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IEG satisfactory outcome rating (binary &amp; ordinal)</w:t>
            </w:r>
          </w:p>
        </w:tc>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Project characteristics: size, duration, loan type, subsector; country: govt effectiveness, education spending, GDP growth</w:t>
            </w:r>
          </w:p>
        </w:tc>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Linear probability, logit, ordered logit; logit with country FE</w:t>
            </w:r>
          </w:p>
        </w:tc>
        <w:tc>
          <w:tcPr>
            <w:tcW w:type="dxa" w:w="83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World Bank IEG project performance ratings, WDI, WGI | n=~400–700 education projects, 1986–2011</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KRYG2020</w:t>
            </w:r>
          </w:p>
        </w:tc>
        <w:tc>
          <w:tcPr>
            <w:tcW w:type="dxa" w:w="75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Natalia Kryg</w:t>
            </w:r>
          </w:p>
        </w:tc>
        <w:tc>
          <w:tcPr>
            <w:tcW w:type="dxa" w:w="3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2020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Bank performance and stability [Ch. 2: Drivers of a bank's investment performance at a multinational development bank]</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PhD Thesis, UCL / University College London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Project-level determinants of MDB outcomes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What project design/structure and client characteristics determine the probability of investment success at EBRD?</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Transition impact (non-financial success rating) of EBRD investment projects</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Project design (framework flag, investment size, TC co-financing), client type (state vs private)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Logit with Heckman selection correction; moderated mediation analysis; robustness variants</w:t>
            </w:r>
          </w:p>
        </w:tc>
        <w:tc>
          <w:tcPr>
            <w:tcW w:type="dxa" w:w="83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EBRD proprietary project database (all investments since 1992) | n=~1,573 projects</w:t>
            </w:r>
          </w:p>
        </w:tc>
      </w:tr>
      <w:tr>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LIM2021</w:t>
            </w:r>
          </w:p>
        </w:tc>
        <w:tc>
          <w:tcPr>
            <w:tcW w:type="dxa" w:w="75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King Yoong Lim; Chunping Liu</w:t>
            </w:r>
          </w:p>
        </w:tc>
        <w:tc>
          <w:tcPr>
            <w:tcW w:type="dxa" w:w="38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2021</w:t>
            </w:r>
          </w:p>
        </w:tc>
        <w:tc>
          <w:tcPr>
            <w:tcW w:type="dxa" w:w="13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Dual-objective donors and investment across economic regions: Theory and evidence</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Discussion Papers in Economics No. 2021/1 (Working Paper)</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Aid-to-growth macro literature</w:t>
            </w:r>
          </w:p>
        </w:tc>
        <w:tc>
          <w:tcPr>
            <w:tcW w:type="dxa" w:w="13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How do traditional aid and loan aid differentially drive investment and consumption across regional economic blocs?</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Aggregate physical capital stock / GDP growth (regional panel)</w:t>
            </w:r>
          </w:p>
        </w:tc>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Traditional aid (grants) vs loan aid (commercial), donor dual objectives</w:t>
            </w:r>
          </w:p>
        </w:tc>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Structural VAR (4-variable SVAR), Granger-causality, theoretical DSGE</w:t>
            </w:r>
          </w:p>
        </w:tc>
        <w:tc>
          <w:tcPr>
            <w:tcW w:type="dxa" w:w="83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DAC donor data, 9 economic communities/regions, macro panel | n=9 regions (macro aggregates, not project-level)</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JIMI2021</w:t>
            </w:r>
          </w:p>
        </w:tc>
        <w:tc>
          <w:tcPr>
            <w:tcW w:type="dxa" w:w="75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Nusrat Abedin Jimi</w:t>
            </w:r>
          </w:p>
        </w:tc>
        <w:tc>
          <w:tcPr>
            <w:tcW w:type="dxa" w:w="3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2021</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Three essays on education and entrepreneurship in developing countries</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PhD Dissertation, Binghamton University SUNY</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Development program impact evaluation (household-level)</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Ch1: Impact of lottery-based school admission on diversity/achievement; Ch2: Credit access on productivity; Ch3: Human capital and entrepreneurship via RDD</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Academic achievement (GPA), agricultural productivity (TFP), enterprise outcomes</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Lottery reform (DiD), credit access (RCT), education/human capital (RDD)</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DiD, stochastic frontier (meta-frontier), regression discontinuity</w:t>
            </w:r>
          </w:p>
        </w:tc>
        <w:tc>
          <w:tcPr>
            <w:tcW w:type="dxa" w:w="83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Bangladesh school admin data (n=8,046 students); BCUP RCT data (Bangladesh farmers); Nepal survey | n=8,046 students; RCT sample ~500–1,000 farmers</w:t>
            </w:r>
          </w:p>
        </w:tc>
      </w:tr>
      <w:tr>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DO2024</w:t>
            </w:r>
          </w:p>
        </w:tc>
        <w:tc>
          <w:tcPr>
            <w:tcW w:type="dxa" w:w="75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Manh Hung Do</w:t>
            </w:r>
          </w:p>
        </w:tc>
        <w:tc>
          <w:tcPr>
            <w:tcW w:type="dxa" w:w="38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2024</w:t>
            </w:r>
          </w:p>
        </w:tc>
        <w:tc>
          <w:tcPr>
            <w:tcW w:type="dxa" w:w="13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Rural development policies in Southeast Asia: Impacts on household livelihoods, welfare and rural transformation</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PhD Dissertation, Leibniz Universität Hannover</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Rural development policy evaluation (household-level)</w:t>
            </w:r>
          </w:p>
        </w:tc>
        <w:tc>
          <w:tcPr>
            <w:tcW w:type="dxa" w:w="13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How does Vietnam's New Rural Development (NRD) program improve household income, resilience, and structural transformation?</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Household income, poverty headcount, non-farm employment, structural transformation indicators</w:t>
            </w:r>
          </w:p>
        </w:tc>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NRD program participation, rural infrastructure investment, land consolidation, crop commercialisation</w:t>
            </w:r>
          </w:p>
        </w:tc>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FE-IV, Heckman selection, PSM-DiD, simultaneous equations, UQR</w:t>
            </w:r>
          </w:p>
        </w:tc>
        <w:tc>
          <w:tcPr>
            <w:tcW w:type="dxa" w:w="83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Thailand-Vietnam Socio-Economic Panel (TVSEP), household panel data | n=Panel of rural households across Thailand and Vietnam (village/household level)</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SEKWATI2015</w:t>
            </w:r>
          </w:p>
        </w:tc>
        <w:tc>
          <w:tcPr>
            <w:tcW w:type="dxa" w:w="75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Lesego Sekwati</w:t>
            </w:r>
          </w:p>
        </w:tc>
        <w:tc>
          <w:tcPr>
            <w:tcW w:type="dxa" w:w="3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2015</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Stimulating entrepreneurial activity in Botswana: a path to sustainable and broad based inclusive growth</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PhD Dissertation, University of Wollongong</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SME technical efficiency / entrepreneurship policy</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How can Botswana stimulate entrepreneurial activity and what are determinants of SME technical efficiency?</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SME technical efficiency (DEA); entrepreneurship policy recommendations</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Financing constraints, export orientation, firm age, entrepreneur education/experience</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DEA (CRS/VRS), Simar-Wilson bootstrap truncated regression</w:t>
            </w:r>
          </w:p>
        </w:tc>
        <w:tc>
          <w:tcPr>
            <w:tcW w:type="dxa" w:w="83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World Bank Enterprise Survey, Botswana SMEs (manufacturing), 2006 &amp; 2010 | n=Pooled cross-sections (~200–300 SMEs, data-constrained)</w:t>
            </w:r>
          </w:p>
        </w:tc>
      </w:tr>
      <w:tr>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PRODUCTIVITYPAPER</w:t>
            </w:r>
          </w:p>
        </w:tc>
        <w:tc>
          <w:tcPr>
            <w:tcW w:type="dxa" w:w="75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Author(s) via AgEcon Search [exact authorship not recovered from OCR]</w:t>
            </w:r>
          </w:p>
        </w:tc>
        <w:tc>
          <w:tcPr>
            <w:tcW w:type="dxa" w:w="38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~2012–2016</w:t>
            </w:r>
          </w:p>
        </w:tc>
        <w:tc>
          <w:tcPr>
            <w:tcW w:type="dxa" w:w="13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Contract farming and sunflower productivity in Tanzania [working title from content]</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AgEcon Search (working paper)</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Agricultural productivity / contract farming</w:t>
            </w:r>
          </w:p>
        </w:tc>
        <w:tc>
          <w:tcPr>
            <w:tcW w:type="dxa" w:w="13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Do contract farmers achieve higher technical efficiency than non-contract farmers in sunflower production?</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Technical efficiency (stochastic frontier); meta-frontier technical efficiency</w:t>
            </w:r>
          </w:p>
        </w:tc>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Contract farming participation (binary)</w:t>
            </w:r>
          </w:p>
        </w:tc>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Stochastic frontier with sample selection (Greene 2010), meta-frontier, genetic matching</w:t>
            </w:r>
          </w:p>
        </w:tc>
        <w:tc>
          <w:tcPr>
            <w:tcW w:type="dxa" w:w="83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Cross-sectional farm survey, Kongwa district Tanzania, Sept–Oct 2012 | n=396 small-scale sunflower farmers (201 contract, 195 non-contract)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RAJSINGHA2022</w:t>
            </w:r>
          </w:p>
        </w:tc>
        <w:tc>
          <w:tcPr>
            <w:tcW w:type="dxa" w:w="75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Rajesh Raj S.N.; Komol Singha (Eds.)</w:t>
            </w:r>
          </w:p>
        </w:tc>
        <w:tc>
          <w:tcPr>
            <w:tcW w:type="dxa" w:w="3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~2022</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Economic reforms and development in India [book preview — 10.4324/9780367855741]</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Routledge (book chapter collection preview)</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Indian economic reforms — macro/sectoral analysis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Multiple questions across 27 chapters: trade reform, FDI, financial sector, social sector impacts in India</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Various macro: labour income share, export competitiveness, FDI, nutrition, HDI</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Economic liberalisation policies, trade reform, FDI</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Various: OLS, panel regression, DEA, ARDL, causality tests</w:t>
            </w:r>
          </w:p>
        </w:tc>
        <w:tc>
          <w:tcPr>
            <w:tcW w:type="dxa" w:w="83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National-level Indian data (ASI, IIP, WDI, NSS); state-level panels | n=Country/state aggregates; not project-level</w:t>
            </w:r>
          </w:p>
        </w:tc>
      </w:tr>
    </w:tbl>
    <w:p>
      <w:pPr>
        <w:spacing w:after="400"/>
      </w:pPr>
    </w:p>
    <w:p>
      <w:pPr>
        <w:pStyle w:val="Heading2"/>
      </w:pPr>
      <w:r>
        <w:rPr>
          <w:rFonts w:ascii="Arial" w:cs="Arial" w:eastAsia="Arial" w:hAnsi="Arial"/>
          <w:b/>
          <w:bCs/>
          <w:color w:val="4A7C59"/>
          <w:sz w:val="24"/>
          <w:szCs w:val="24"/>
        </w:rPr>
        <w:t xml:space="preserve">Tab A (continued) — Findings, Gaps, Relevance, Deep Read Flag</w:t>
      </w:r>
    </w:p>
    <w:p>
      <w:pPr>
        <w:spacing w:after="160"/>
      </w:pPr>
      <w:r>
        <w:rPr>
          <w:rFonts w:ascii="Arial" w:cs="Arial" w:eastAsia="Arial" w:hAnsi="Arial"/>
          <w:i/>
          <w:iCs/>
          <w:color w:val="555555"/>
          <w:sz w:val="18"/>
          <w:szCs w:val="18"/>
        </w:rPr>
        <w:t xml:space="preserve">Columns: Paper_ID | Key_Finding | Gap_They_Left | Relevant_to_RQ | Deep_Read | n_Projects |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860"/>
        <w:gridCol w:w="1200"/>
        <w:gridCol w:w="900"/>
        <w:gridCol w:w="1000"/>
        <w:gridCol w:w="1700"/>
      </w:tblGrid>
      <w:tr>
        <w:trPr>
          <w:tblHeader/>
        </w:trPr>
        <w:tc>
          <w:tcPr>
            <w:tcW w:type="dxa" w:w="700"/>
            <w:tcBorders>
              <w:top w:val="single" w:color="AAAAAA" w:sz="1"/>
              <w:left w:val="single" w:color="AAAAAA" w:sz="1"/>
              <w:bottom w:val="single" w:color="AAAAAA" w:sz="1"/>
              <w:right w:val="single" w:color="AAAAAA" w:sz="1"/>
            </w:tcBorders>
            <w:shd w:fill="4A7C59"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2000"/>
            <w:tcBorders>
              <w:top w:val="single" w:color="AAAAAA" w:sz="1"/>
              <w:left w:val="single" w:color="AAAAAA" w:sz="1"/>
              <w:bottom w:val="single" w:color="AAAAAA" w:sz="1"/>
              <w:right w:val="single" w:color="AAAAAA" w:sz="1"/>
            </w:tcBorders>
            <w:shd w:fill="4A7C59" w:val="clear"/>
            <w:tcMar>
              <w:top w:type="dxa" w:w="80"/>
              <w:left w:type="dxa" w:w="100"/>
              <w:bottom w:type="dxa" w:w="80"/>
              <w:right w:type="dxa" w:w="100"/>
            </w:tcMar>
          </w:tcPr>
          <w:p>
            <w:r>
              <w:rPr>
                <w:rFonts w:ascii="Arial" w:cs="Arial" w:eastAsia="Arial" w:hAnsi="Arial"/>
                <w:b/>
                <w:bCs/>
                <w:color w:val="FFFFFF"/>
                <w:sz w:val="18"/>
                <w:szCs w:val="18"/>
              </w:rPr>
              <w:t xml:space="preserve">Key_Finding</w:t>
            </w:r>
          </w:p>
        </w:tc>
        <w:tc>
          <w:tcPr>
            <w:tcW w:type="dxa" w:w="1860"/>
            <w:tcBorders>
              <w:top w:val="single" w:color="AAAAAA" w:sz="1"/>
              <w:left w:val="single" w:color="AAAAAA" w:sz="1"/>
              <w:bottom w:val="single" w:color="AAAAAA" w:sz="1"/>
              <w:right w:val="single" w:color="AAAAAA" w:sz="1"/>
            </w:tcBorders>
            <w:shd w:fill="4A7C59" w:val="clear"/>
            <w:tcMar>
              <w:top w:type="dxa" w:w="80"/>
              <w:left w:type="dxa" w:w="100"/>
              <w:bottom w:type="dxa" w:w="80"/>
              <w:right w:type="dxa" w:w="100"/>
            </w:tcMar>
          </w:tcPr>
          <w:p>
            <w:r>
              <w:rPr>
                <w:rFonts w:ascii="Arial" w:cs="Arial" w:eastAsia="Arial" w:hAnsi="Arial"/>
                <w:b/>
                <w:bCs/>
                <w:color w:val="FFFFFF"/>
                <w:sz w:val="18"/>
                <w:szCs w:val="18"/>
              </w:rPr>
              <w:t xml:space="preserve">Gap_They_Left</w:t>
            </w:r>
          </w:p>
        </w:tc>
        <w:tc>
          <w:tcPr>
            <w:tcW w:type="dxa" w:w="1200"/>
            <w:tcBorders>
              <w:top w:val="single" w:color="AAAAAA" w:sz="1"/>
              <w:left w:val="single" w:color="AAAAAA" w:sz="1"/>
              <w:bottom w:val="single" w:color="AAAAAA" w:sz="1"/>
              <w:right w:val="single" w:color="AAAAAA" w:sz="1"/>
            </w:tcBorders>
            <w:shd w:fill="4A7C59" w:val="clear"/>
            <w:tcMar>
              <w:top w:type="dxa" w:w="80"/>
              <w:left w:type="dxa" w:w="100"/>
              <w:bottom w:type="dxa" w:w="80"/>
              <w:right w:type="dxa" w:w="100"/>
            </w:tcMar>
          </w:tcPr>
          <w:p>
            <w:r>
              <w:rPr>
                <w:rFonts w:ascii="Arial" w:cs="Arial" w:eastAsia="Arial" w:hAnsi="Arial"/>
                <w:b/>
                <w:bCs/>
                <w:color w:val="FFFFFF"/>
                <w:sz w:val="18"/>
                <w:szCs w:val="18"/>
              </w:rPr>
              <w:t xml:space="preserve">Relevant_to_RQ</w:t>
            </w:r>
          </w:p>
        </w:tc>
        <w:tc>
          <w:tcPr>
            <w:tcW w:type="dxa" w:w="900"/>
            <w:tcBorders>
              <w:top w:val="single" w:color="AAAAAA" w:sz="1"/>
              <w:left w:val="single" w:color="AAAAAA" w:sz="1"/>
              <w:bottom w:val="single" w:color="AAAAAA" w:sz="1"/>
              <w:right w:val="single" w:color="AAAAAA" w:sz="1"/>
            </w:tcBorders>
            <w:shd w:fill="4A7C59" w:val="clear"/>
            <w:tcMar>
              <w:top w:type="dxa" w:w="80"/>
              <w:left w:type="dxa" w:w="100"/>
              <w:bottom w:type="dxa" w:w="80"/>
              <w:right w:type="dxa" w:w="100"/>
            </w:tcMar>
          </w:tcPr>
          <w:p>
            <w:r>
              <w:rPr>
                <w:rFonts w:ascii="Arial" w:cs="Arial" w:eastAsia="Arial" w:hAnsi="Arial"/>
                <w:b/>
                <w:bCs/>
                <w:color w:val="FFFFFF"/>
                <w:sz w:val="18"/>
                <w:szCs w:val="18"/>
              </w:rPr>
              <w:t xml:space="preserve">Deep_Read</w:t>
            </w:r>
          </w:p>
        </w:tc>
        <w:tc>
          <w:tcPr>
            <w:tcW w:type="dxa" w:w="1000"/>
            <w:tcBorders>
              <w:top w:val="single" w:color="AAAAAA" w:sz="1"/>
              <w:left w:val="single" w:color="AAAAAA" w:sz="1"/>
              <w:bottom w:val="single" w:color="AAAAAA" w:sz="1"/>
              <w:right w:val="single" w:color="AAAAAA" w:sz="1"/>
            </w:tcBorders>
            <w:shd w:fill="4A7C59" w:val="clear"/>
            <w:tcMar>
              <w:top w:type="dxa" w:w="80"/>
              <w:left w:type="dxa" w:w="100"/>
              <w:bottom w:type="dxa" w:w="80"/>
              <w:right w:type="dxa" w:w="100"/>
            </w:tcMar>
          </w:tcPr>
          <w:p>
            <w:r>
              <w:rPr>
                <w:rFonts w:ascii="Arial" w:cs="Arial" w:eastAsia="Arial" w:hAnsi="Arial"/>
                <w:b/>
                <w:bCs/>
                <w:color w:val="FFFFFF"/>
                <w:sz w:val="18"/>
                <w:szCs w:val="18"/>
              </w:rPr>
              <w:t xml:space="preserve">n_Projects</w:t>
            </w:r>
          </w:p>
        </w:tc>
        <w:tc>
          <w:tcPr>
            <w:tcW w:type="dxa" w:w="1700"/>
            <w:tcBorders>
              <w:top w:val="single" w:color="AAAAAA" w:sz="1"/>
              <w:left w:val="single" w:color="AAAAAA" w:sz="1"/>
              <w:bottom w:val="single" w:color="AAAAAA" w:sz="1"/>
              <w:right w:val="single" w:color="AAAAAA" w:sz="1"/>
            </w:tcBorders>
            <w:shd w:fill="4A7C59"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LEE2016</w:t>
            </w:r>
          </w:p>
        </w:tc>
        <w:tc>
          <w:tcPr>
            <w:tcW w:type="dxa" w:w="20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Project duration, loan type (DPL), government effectiveness, and subsector significantly predict satisfactory ratings; interactions of govt effectiveness × subsector matter</w:t>
            </w:r>
          </w:p>
        </w:tc>
        <w:tc>
          <w:tcPr>
            <w:tcW w:type="dxa" w:w="186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Does not examine pre-approval design quality (quality at entry) as a structured predictor; conflates implementation with design; no causal identification strategy</w:t>
            </w:r>
          </w:p>
        </w:tc>
        <w:tc>
          <w:tcPr>
            <w:tcW w:type="dxa" w:w="12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High — directly models World Bank project outcomes as function of project characteristics</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Yes</w:t>
            </w:r>
          </w:p>
        </w:tc>
        <w:tc>
          <w:tcPr>
            <w:tcW w:type="dxa" w:w="10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~400–700 education projects, 1986–2011</w:t>
            </w:r>
          </w:p>
        </w:tc>
        <w:tc>
          <w:tcPr>
            <w:tcW w:type="dxa" w:w="1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Dissertation — credible working paper equivalent; mixed-methods (quantitative + qualitative interviews)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KRYG2020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Larger investments and framework projects have higher success probability; state clients significantly reduce success likelihood; Heckman correction confirms selection bias exists but does not overturn main results</w:t>
            </w:r>
          </w:p>
        </w:tc>
        <w:tc>
          <w:tcPr>
            <w:tcW w:type="dxa" w:w="1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EBRD-specific design quality proxies (framework flag, investment size) are crude; no measure of pre-approval appraisal quality score; World Bank cross-institutional generalisability untested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High — closest analogue to Brandon's OR=27.8; directly models project design → success at MDB</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Yes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~1,573 projects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Thesis presented at World Bank (2018); explicitly bridges to WB/IFC literature; EBRD transition metric differs from IEG outcome scale</w:t>
            </w:r>
          </w:p>
        </w:tc>
      </w:tr>
      <w:tr>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LIM2021</w:t>
            </w:r>
          </w:p>
        </w:tc>
        <w:tc>
          <w:tcPr>
            <w:tcW w:type="dxa" w:w="20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Loan aid Granger-causes capital stock growth; traditional aid linked to consumption; cross-region spillovers present</w:t>
            </w:r>
          </w:p>
        </w:tc>
        <w:tc>
          <w:tcPr>
            <w:tcW w:type="dxa" w:w="186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Pure macro — no project-level observations; cannot speak to design quality → outcome link</w:t>
            </w:r>
          </w:p>
        </w:tc>
        <w:tc>
          <w:tcPr>
            <w:tcW w:type="dxa" w:w="12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Low — macro context only; excluded from main coding stream</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No</w:t>
            </w:r>
          </w:p>
        </w:tc>
        <w:tc>
          <w:tcPr>
            <w:tcW w:type="dxa" w:w="10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9 regions (macro aggregates, not project-level)</w:t>
            </w:r>
          </w:p>
        </w:tc>
        <w:tc>
          <w:tcPr>
            <w:tcW w:type="dxa" w:w="1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EXCLUDED — macro-only, no project-level data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JIMI2021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Lottery reform improved SES diversity without harming average achievement; credit access improves TFP via technology adoption, not efficiency; RDD shows education raises entrepreneurial outcomes</w:t>
            </w:r>
          </w:p>
        </w:tc>
        <w:tc>
          <w:tcPr>
            <w:tcW w:type="dxa" w:w="1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Does not study development project design quality at project level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Low — household/individual outcomes, not MDB project performance</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No</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8,046 students; RCT sample ~500–1,000 farmers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EXCLUDED — no project-level development project data; individual/household unit of analysis</w:t>
            </w:r>
          </w:p>
        </w:tc>
      </w:tr>
      <w:tr>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DO2024</w:t>
            </w:r>
          </w:p>
        </w:tc>
        <w:tc>
          <w:tcPr>
            <w:tcW w:type="dxa" w:w="20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Rural infrastructure investment improves household resilience and income; non-farm employment reduces resource extraction; land consolidation supports rice production efficiency and income diversification</w:t>
            </w:r>
          </w:p>
        </w:tc>
        <w:tc>
          <w:tcPr>
            <w:tcW w:type="dxa" w:w="186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Household/village unit of analysis — no project-level design quality measure; outcomes are welfare, not project effectiveness ratings</w:t>
            </w:r>
          </w:p>
        </w:tc>
        <w:tc>
          <w:tcPr>
            <w:tcW w:type="dxa" w:w="12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Low — household-level impact study, not MDB project performance</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No</w:t>
            </w:r>
          </w:p>
        </w:tc>
        <w:tc>
          <w:tcPr>
            <w:tcW w:type="dxa" w:w="10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Panel of rural households across Thailand and Vietnam (village/household level)</w:t>
            </w:r>
          </w:p>
        </w:tc>
        <w:tc>
          <w:tcPr>
            <w:tcW w:type="dxa" w:w="1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EXCLUDED — no project-level development project data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SEKWATI2015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Financing constraints and regulatory burden reduce SME efficiency; entrepreneur education and experience positively associated with efficiency</w:t>
            </w:r>
          </w:p>
        </w:tc>
        <w:tc>
          <w:tcPr>
            <w:tcW w:type="dxa" w:w="1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Firm-level efficiency analysis, not development project evaluation; no project design quality variable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Very low — SME efficiency in one country; not MDB project performance</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No</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Pooled cross-sections (~200–300 SMEs, data-constrained)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EXCLUDED — no project-level development project data; firm-level efficiency study</w:t>
            </w:r>
          </w:p>
        </w:tc>
      </w:tr>
      <w:tr>
        <w:tc>
          <w:tcPr>
            <w:tcW w:type="dxa" w:w="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PRODUCTIVITYPAPER</w:t>
            </w:r>
          </w:p>
        </w:tc>
        <w:tc>
          <w:tcPr>
            <w:tcW w:type="dxa" w:w="20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Meta-frontier approach compares group-specific efficiencies; self-selection correction via correlated error structure</w:t>
            </w:r>
          </w:p>
        </w:tc>
        <w:tc>
          <w:tcPr>
            <w:tcW w:type="dxa" w:w="186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Agricultural micro study, not development project evaluation</w:t>
            </w:r>
          </w:p>
        </w:tc>
        <w:tc>
          <w:tcPr>
            <w:tcW w:type="dxa" w:w="12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Very low — agricultural household study; no development project data</w:t>
            </w:r>
          </w:p>
        </w:tc>
        <w:tc>
          <w:tcPr>
            <w:tcW w:type="dxa" w:w="9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No</w:t>
            </w:r>
          </w:p>
        </w:tc>
        <w:tc>
          <w:tcPr>
            <w:tcW w:type="dxa" w:w="10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396 small-scale sunflower farmers (201 contract, 195 non-contract)</w:t>
            </w:r>
          </w:p>
        </w:tc>
        <w:tc>
          <w:tcPr>
            <w:tcW w:type="dxa" w:w="17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EXCLUDED — farm household study; n=396 farmers, not development projects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RAJSINGHA2022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Preview only — individual chapter findings not fully extractable</w:t>
            </w:r>
          </w:p>
        </w:tc>
        <w:tc>
          <w:tcPr>
            <w:tcW w:type="dxa" w:w="1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Book preview — macro country/sector level only; no project-level development project data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Very low — Indian macro reforms; no MDB project outcomes</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No</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Country/state aggregates; not project-level</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EXCLUDED — macro-only book preview; purely descriptive/macro, no project-level data</w:t>
            </w:r>
          </w:p>
        </w:tc>
      </w:tr>
    </w:tbl>
    <w:p>
      <w:pPr>
        <w:spacing w:after="400"/>
      </w:pPr>
    </w:p>
    <w:p>
      <w:pPr>
        <w:pStyle w:val="Heading1"/>
      </w:pPr>
      <w:r>
        <w:rPr>
          <w:rFonts w:ascii="Arial" w:cs="Arial" w:eastAsia="Arial" w:hAnsi="Arial"/>
          <w:b/>
          <w:bCs/>
          <w:color w:val="2E4057"/>
          <w:sz w:val="32"/>
          <w:szCs w:val="32"/>
        </w:rPr>
        <w:t xml:space="preserve">Tab B — Deep Read: LEE2016 (Lee, 2016)</w:t>
      </w:r>
    </w:p>
    <w:p>
      <w:pPr>
        <w:spacing w:after="160"/>
      </w:pPr>
      <w:r>
        <w:rPr>
          <w:rFonts w:ascii="Arial" w:cs="Arial" w:eastAsia="Arial" w:hAnsi="Arial"/>
          <w:i/>
          <w:iCs/>
          <w:sz w:val="20"/>
          <w:szCs w:val="20"/>
        </w:rPr>
        <w:t xml:space="preserve">"What makes a good project? Success factors of the World Bank education development projects" — PhD Dissertation, Vanderbilt University,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Paper_ID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LEE2016</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Authors_Year</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Lee, B. (2016)</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Model_Specification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Primary: logit (binary satisfactory/unsatisfactory IEG rating). Secondary: OLS (linear probability), ordered logit (categorical 1–6 rating). Variables: project duration, loan size, loan type (DPL dummy), subsector dummies, country GDP growth, government effectiveness (WGI), education spending (% GDP). Country FE specification added as robustness. Predicted probabilities plotted for key interactions.</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Identification_Strategy</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Observational regression; no natural experiment or instrumental variable. Identification rests on inclusion of country-level controls and country FE. No explicit causal claim — framed as 'determinants' rather than causal effects. Reverse causality acknowledged as limitation.</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Control_Variables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Country-level: GDP growth, education spending (% GDP), government effectiveness index. Project-level: loan size (log USD), project duration (years), loan type dummy (DPL), subsector dummies (primary, secondary, higher, general), region dummies.</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Fixed_Effects</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Country fixed effects in robustness specification (Table 12). No time FE. Cross-sectional variation across projects within and across countries.</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Standard_Errors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Not explicitly specified in extractable text; assumed clustered at country level in FE specifications.</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Main_Coefficient</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Government effectiveness positively and significantly predicts satisfactory outcomes. Longer project duration has mixed effect by subsector. DPL loan type associated with lower success probability in some specifications. Primary education subsector performs better than others under higher govt effectiveness. Specific coefficients/OR not recovered from OCR-limited pages.</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Robustness_Tests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OLS vs logit vs ordered logit (results consistent); logit with/without country FE (Table 12); subsector-stratified logits (Table 13); additional governance measures added (Table 14); additional country characteristics (Table 15); analysis with/without country weights (Appendix B).</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Bias_Acknowledged</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Selection bias acknowledged — projects are not randomly assigned to countries; govt effectiveness endogenous to development; data limited to projects with completed IEG ratings (survivorship). Qualitative interviews added to compensate for data limitations.</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Bias_NOT_Addressed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No instrument for quality at entry / project design quality. Cannot separate design quality from implementation quality. Omitted variable bias from unobserved country/task-team factors. IEG rating process itself may be endogenous to project characteristics (self-assessment bias in ICR).</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Data_Source_Detail</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World Bank IEG project performance database (outcome ratings for closed projects); World Development Indicators (WDI); Worldwide Governance Indicators (WGI); project-level data from World Bank operational systems. Education projects 1986–2011.</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Sample_Restrictions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Education sector projects only; closed/evaluated projects only (excludes active and unevaluated); ~1996–2011 for main quantitative analysis (earlier years used for descriptive trends).</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Cross_Institution</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World Bank only — no cross-MDB comparison. Qualitative interviews with 15 current/retired Bank staff adds context.</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Heterogeneity_Tests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Subsector-stratified logits (Table 13) reveal heterogeneous effects of govt effectiveness and duration across primary vs non-primary education. Interaction of govt effectiveness × subsector modelled graphically (Figures 16–19).</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Your_Advance</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Brandon's advance: Lee models project-level characteristics → IEG outcome but treats design quality as an unobserved residual. Brandon directly operationalises pre-approval Quality at Entry (QE) score as a structured predictor, enables causal framing using QE as design quality measure, and extends to 12,328 projects across all sectors — far larger and cross-sector compared to Lee's sector-specific n≈400–700.</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Quote_For_Paper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"This study examines the determinants of the education project outcomes of the World Bank... Since this is the first study to focus on education sector using project level data, I review studies from four different areas" (Lee, 2016, Ch. I — introduction). "Project duration, loan type and government effectiveness explain significant variation in project outcome ratings" (Lee, 2016, paraphrased from results discussion).</w:t>
            </w:r>
          </w:p>
        </w:tc>
      </w:tr>
    </w:tbl>
    <w:p>
      <w:pPr>
        <w:spacing w:after="400"/>
      </w:pPr>
    </w:p>
    <w:p>
      <w:pPr>
        <w:pStyle w:val="Heading1"/>
      </w:pPr>
      <w:r>
        <w:rPr>
          <w:rFonts w:ascii="Arial" w:cs="Arial" w:eastAsia="Arial" w:hAnsi="Arial"/>
          <w:b/>
          <w:bCs/>
          <w:color w:val="2E4057"/>
          <w:sz w:val="32"/>
          <w:szCs w:val="32"/>
        </w:rPr>
        <w:t xml:space="preserve">Tab B — Deep Read: KRYG2020 (Kryg, 2020)</w:t>
      </w:r>
    </w:p>
    <w:p>
      <w:pPr>
        <w:spacing w:after="160"/>
      </w:pPr>
      <w:r>
        <w:rPr>
          <w:rFonts w:ascii="Arial" w:cs="Arial" w:eastAsia="Arial" w:hAnsi="Arial"/>
          <w:i/>
          <w:iCs/>
          <w:sz w:val="20"/>
          <w:szCs w:val="20"/>
        </w:rPr>
        <w:t xml:space="preserve">"Bank performance and stability" Ch. 2: Drivers of investment performance at EBRD — PhD Thesis, UCL,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Paper_ID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KRYG2020</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Authors_Year</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Kryg, N. (2020)</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Model_Specification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Logit regression with four specifications (Table 11): (1) project design/structure variables only; (2) + client characteristics; (3) + country-level controls; (4) full model. Heckman two-stage selection model (Table 10) to address non-random project approval. Moderated mediation analysis (Table 12) testing whether technical cooperation (TC) mediates framework → success path. Dependent variable: binary transition impact rating (fully/mostly successful vs unsuccessful).</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Identification_Strategy</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Heckman sample selection model: first-stage probit predicts project approval probability (selection equation uses variables determining whether investment was approved); second-stage logit conditions on selection correction. Addresses survivor bias (only approved projects observed). No natural experiment; observational design.</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Control_Variables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Project-level: investment size (log), framework flag (binary), TC co-financing dummy, sector dummies, year dummies. Client-level: state client dummy, prior EBRD relationship. Country-level: EBRD country of operations classification, transition indicators.</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Fixed_Effects</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Year fixed effects included. Country-of-operation dummies. No project-type FE separately — captured through sector dummies.</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Standard_Errors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Not specified in recoverable text; likely robust standard errors given Heckman framework.</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Main_Coefficient</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Framework projects significantly more likely to succeed (positive and significant coefficient). Larger investment size positively associated with success. State clients significantly less likely to achieve transition success (negative significant coefficient). Heckman selection correction: selection bias present but results qualitatively unchanged after correction.</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Robustness_Tests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Four regression specifications building from project design to full model. Heckman selection correction. Moderated mediation to test mechanism (TC → framework → success). Spearman and Pearson correlation checks (Tables 8–9). Regional distribution checks (Table 5).</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Bias_Acknowledged</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Explicitly addresses selection bias via Heckman two-stage. Acknowledges EBRD-specific mission (transition vs development outcomes) limits generalisability. Data limitation: financial performance not linked to transition performance in available data — trade-off analysis impossible.</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Bias_NOT_Addressed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Framework flag is an endogenous design choice — better-designed projects may self-select into framework structures. No instrument for project design quality beyond framework flag and investment size proxies. Omitted variable: task team quality, borrower capacity not directly measured. Cross-MDB validity untested.</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Data_Source_Detail</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EBRD proprietary investment project database: all investments since EBRD inception (1992) across all sectors and countries of operation. Project-level: investment size, sector, client type, framework status, TC co-financing, transition impact rating (PTI/ETI scale). Constructed by author.</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Sample_Restrictions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EBRD investments only; investments with completed transition impact ratings; n=1,573. Private sector focus (EBRD mandate) — excludes sovereign lending that World Bank IDA conducts.</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Cross_Institution</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EBRD only, but chapter explicitly situates in cross-MDB literature (World Bank: Denizer et al. 2013; Bulman et al. 2017; Kilby 2000; IFC). Author presented at World Bank 2018 — results compared informally with WB findings.</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Heterogeneity_Tests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Moderated mediation by sector type. Regional sub-analyses discussed. ETI vs PTI metric sensitivity (Section 2.5.3). State vs private client heterogeneity is a primary finding (not a subgroup test, but constitutes institutional heterogeneity).</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00"/>
              <w:bottom w:type="dxa" w:w="80"/>
              <w:right w:type="dxa" w:w="100"/>
            </w:tcMar>
          </w:tcPr>
          <w:p>
            <w:r>
              <w:rPr>
                <w:rFonts w:ascii="Arial" w:cs="Arial" w:eastAsia="Arial" w:hAnsi="Arial"/>
                <w:b/>
                <w:bCs/>
                <w:sz w:val="18"/>
                <w:szCs w:val="18"/>
              </w:rPr>
              <w:t xml:space="preserve">Your_Advance</w:t>
            </w:r>
          </w:p>
        </w:tc>
        <w:tc>
          <w:tcPr>
            <w:tcW w:type="dxa" w:w="7360"/>
            <w:tcBorders>
              <w:top w:val="single" w:color="AAAAAA" w:sz="1"/>
              <w:left w:val="single" w:color="AAAAAA" w:sz="1"/>
              <w:bottom w:val="single" w:color="AAAAAA" w:sz="1"/>
              <w:right w:val="single" w:color="AAAAAA" w:sz="1"/>
            </w:tcBorders>
            <w:shd w:fill="FAFBFC" w:val="clear"/>
            <w:tcMar>
              <w:top w:type="dxa" w:w="80"/>
              <w:left w:type="dxa" w:w="100"/>
              <w:bottom w:type="dxa" w:w="80"/>
              <w:right w:type="dxa" w:w="100"/>
            </w:tcMar>
          </w:tcPr>
          <w:p>
            <w:r>
              <w:rPr>
                <w:rFonts w:ascii="Arial" w:cs="Arial" w:eastAsia="Arial" w:hAnsi="Arial"/>
                <w:sz w:val="18"/>
                <w:szCs w:val="18"/>
              </w:rPr>
              <w:t xml:space="preserve">Brandon's advance: Kryg uses framework flag + investment size as crude proxies for design quality at EBRD. Brandon's QE score is a direct, multi-dimensional, pre-approval measure of design quality applied to 12,328 World Bank projects. Brandon can test whether the QE→outcome link generalises across all sectors (not EBRD-specific), use a standardised rating scale (IEG 1–6), and achieve an OR=27.8 — far larger than any design proxy coefficient Kryg reports. Brandon also extends causal identification beyond Heckman by framing QE as exogenous at project approval conditional on country/time FE.</w:t>
            </w:r>
          </w:p>
        </w:tc>
      </w:tr>
      <w:tr>
        <w:tc>
          <w:tcPr>
            <w:tcW w:type="dxa" w:w="2000"/>
            <w:tcBorders>
              <w:top w:val="single" w:color="AAAAAA" w:sz="1"/>
              <w:left w:val="single" w:color="AAAAAA" w:sz="1"/>
              <w:bottom w:val="single" w:color="AAAAAA" w:sz="1"/>
              <w:right w:val="single" w:color="AAAAAA" w:sz="1"/>
            </w:tcBorders>
            <w:shd w:fill="E8EDF2" w:val="clear"/>
            <w:tcMar>
              <w:top w:type="dxa" w:w="80"/>
              <w:left w:type="dxa" w:w="100"/>
              <w:bottom w:type="dxa" w:w="80"/>
              <w:right w:type="dxa" w:w="100"/>
            </w:tcMar>
          </w:tcPr>
          <w:p>
            <w:r>
              <w:rPr>
                <w:rFonts w:ascii="Arial" w:cs="Arial" w:eastAsia="Arial" w:hAnsi="Arial"/>
                <w:b/>
                <w:bCs/>
                <w:sz w:val="18"/>
                <w:szCs w:val="18"/>
              </w:rPr>
              <w:t xml:space="preserve">Quote_For_Paper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"My research builds on a strand of literature that investigates determinants of investment outcomes of MDBs, measuring the extent to which project design or structure and client differences can explain the likelihood of project success. The existing research on this topic is limited and heavily focused on World Bank's projects" (Kryg, 2020, Impact Statement). "Projects under framework [are] associated with higher likelihood of transition success... projects with state clients are less likely to be successful" (Kryg, 2020, Abstract/Ch.2 conclusion).</w:t>
            </w:r>
          </w:p>
        </w:tc>
      </w:tr>
    </w:tbl>
    <w:p>
      <w:pPr>
        <w:spacing w:after="400"/>
      </w:pPr>
    </w:p>
    <w:p>
      <w:pPr>
        <w:pStyle w:val="Heading1"/>
      </w:pPr>
      <w:r>
        <w:rPr>
          <w:rFonts w:ascii="Arial" w:cs="Arial" w:eastAsia="Arial" w:hAnsi="Arial"/>
          <w:b/>
          <w:bCs/>
          <w:color w:val="2E4057"/>
          <w:sz w:val="32"/>
          <w:szCs w:val="32"/>
        </w:rPr>
        <w:t xml:space="preserve">Step 4 — Stream Summary</w:t>
      </w:r>
    </w:p>
    <w:p>
      <w:pPr>
        <w:pStyle w:val="Heading2"/>
      </w:pPr>
      <w:r>
        <w:rPr>
          <w:rFonts w:ascii="Arial" w:cs="Arial" w:eastAsia="Arial" w:hAnsi="Arial"/>
          <w:b/>
          <w:bCs/>
          <w:color w:val="4A7C59"/>
          <w:sz w:val="24"/>
          <w:szCs w:val="24"/>
        </w:rPr>
        <w:t xml:space="preserve">Inclusion Count</w:t>
      </w:r>
    </w:p>
    <w:p>
      <w:pPr>
        <w:spacing w:after="80"/>
        <w:ind w:left="360"/>
      </w:pPr>
      <w:r>
        <w:rPr>
          <w:rFonts w:ascii="Arial" w:cs="Arial" w:eastAsia="Arial" w:hAnsi="Arial"/>
          <w:sz w:val="20"/>
          <w:szCs w:val="20"/>
        </w:rPr>
        <w:t xml:space="preserve">•  n included = 2 (LEE2016, KRYG2020)</w:t>
      </w:r>
    </w:p>
    <w:p>
      <w:pPr>
        <w:spacing w:after="200"/>
        <w:ind w:left="360"/>
      </w:pPr>
      <w:r>
        <w:rPr>
          <w:rFonts w:ascii="Arial" w:cs="Arial" w:eastAsia="Arial" w:hAnsi="Arial"/>
          <w:sz w:val="20"/>
          <w:szCs w:val="20"/>
        </w:rPr>
        <w:t xml:space="preserve">•  n excluded = 6 (LIM2021, JIMI2021, DO2024, SEKWATI2015, PRODUCTIVITYPAPER, RAJSINGHA2022)</w:t>
      </w:r>
    </w:p>
    <w:p>
      <w:pPr>
        <w:pStyle w:val="Heading2"/>
      </w:pPr>
      <w:r>
        <w:rPr>
          <w:rFonts w:ascii="Arial" w:cs="Arial" w:eastAsia="Arial" w:hAnsi="Arial"/>
          <w:b/>
          <w:bCs/>
          <w:color w:val="4A7C59"/>
          <w:sz w:val="24"/>
          <w:szCs w:val="24"/>
        </w:rPr>
        <w:t xml:space="preserve">Stream Gap — Confirmed in One Sentence</w:t>
      </w:r>
    </w:p>
    <w:p>
      <w:pPr>
        <w:spacing w:after="200"/>
      </w:pPr>
      <w:r>
        <w:rPr>
          <w:rFonts w:ascii="Arial" w:cs="Arial" w:eastAsia="Arial" w:hAnsi="Arial"/>
          <w:b w:val="false"/>
          <w:bCs w:val="false"/>
          <w:sz w:val="20"/>
          <w:szCs w:val="20"/>
        </w:rPr>
        <w:t xml:space="preserve">While existing studies (Lee 2016; Kryg 2020) demonstrate that project-level structural characteristics — loan type, investment size, framework flag — associate with MDB project success, no prior work operationalises pre-approval design quality as a direct, multi-dimensional, standardised predictor (Quality at Entry score) and estimates its causal magnitude across a full cross-sector portfolio of 12,328 projects, leaving a critical identification gap that Brandon's OR=27.8 directly fills.</w:t>
      </w:r>
    </w:p>
    <w:p>
      <w:pPr>
        <w:pStyle w:val="Heading2"/>
      </w:pPr>
      <w:r>
        <w:rPr>
          <w:rFonts w:ascii="Arial" w:cs="Arial" w:eastAsia="Arial" w:hAnsi="Arial"/>
          <w:b/>
          <w:bCs/>
          <w:color w:val="4A7C59"/>
          <w:sz w:val="24"/>
          <w:szCs w:val="24"/>
        </w:rPr>
        <w:t xml:space="preserve">Top 3 Forward Citations to 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600"/>
        <w:gridCol w:w="4960"/>
      </w:tblGrid>
      <w:tr>
        <w:tc>
          <w:tcPr>
            <w:tcW w:type="dxa" w:w="4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4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Paper to Chase</w:t>
            </w:r>
          </w:p>
        </w:tc>
        <w:tc>
          <w:tcPr>
            <w:tcW w:type="dxa" w:w="16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Why</w:t>
            </w:r>
          </w:p>
        </w:tc>
        <w:tc>
          <w:tcPr>
            <w:tcW w:type="dxa" w:w="496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r>
              <w:rPr>
                <w:rFonts w:ascii="Arial" w:cs="Arial" w:eastAsia="Arial" w:hAnsi="Arial"/>
                <w:b/>
                <w:bCs/>
                <w:color w:val="FFFFFF"/>
                <w:sz w:val="18"/>
                <w:szCs w:val="18"/>
              </w:rPr>
              <w:t xml:space="preserve">Search Strategy</w:t>
            </w:r>
          </w:p>
        </w:tc>
      </w:tr>
      <w:tr>
        <w:tc>
          <w:tcPr>
            <w:tcW w:type="dxa" w:w="4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1</w:t>
            </w:r>
          </w:p>
        </w:tc>
        <w:tc>
          <w:tcPr>
            <w:tcW w:type="dxa" w:w="24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Denizer, C., Kaufmann, D., &amp; Kraay, A. (2013). Good countries or good projects? Macro and micro correlates of World Bank project performance. Journal of Development Economics, 105, 288–302.</w:t>
            </w:r>
          </w:p>
        </w:tc>
        <w:tc>
          <w:tcPr>
            <w:tcW w:type="dxa" w:w="16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Cited by both Lee (2016) and Kryg (2020) as the foundational project-level WB outcome study. Uses QE-adjacent measures. Key benchmark for Brandon's model.</w:t>
            </w:r>
          </w:p>
        </w:tc>
        <w:tc>
          <w:tcPr>
            <w:tcW w:type="dxa" w:w="496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Google Scholar: 'Denizer Kaufmann Kraay 2013 World Bank project performance' | DOI: 10.1016/j.jdeveco.2013.07.012 | Check citations to this paper for newer studies using QE directly.</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Bulman, D., Kolb, M., &amp; Kraay, A. (2017). Guns, butter, and borrowing: How does the composition of spending affect project performance? World Bank Policy Research Working Paper 8070.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Post-Denizer WB working paper using IEG data — may use QE score directly; identifies spending/design interaction effects. Likely cites QE.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World Bank open knowledge repository: search 'Bulman Kolb Kraay 2017 project performance' | ideas.repec.org | Check WB Policy Research Working Paper 8070.</w:t>
            </w:r>
          </w:p>
        </w:tc>
      </w:tr>
      <w:tr>
        <w:tc>
          <w:tcPr>
            <w:tcW w:type="dxa" w:w="4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3</w:t>
            </w:r>
          </w:p>
        </w:tc>
        <w:tc>
          <w:tcPr>
            <w:tcW w:type="dxa" w:w="24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Kilby, C. (2000 / 2013). The political economy of project preparation: an empirical analysis of World Bank projects. Journal of Development Economics. [Check both the 2000 and 2013 Kilby papers].</w:t>
            </w:r>
          </w:p>
        </w:tc>
        <w:tc>
          <w:tcPr>
            <w:tcW w:type="dxa" w:w="160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Kilby studies World Bank project selection and design quality — likely uses QE-related measures; directly addresses political economy of project appraisal. Cited by Kryg (2020).</w:t>
            </w:r>
          </w:p>
        </w:tc>
        <w:tc>
          <w:tcPr>
            <w:tcW w:type="dxa" w:w="4960"/>
            <w:tcBorders>
              <w:top w:val="single" w:color="AAAAAA" w:sz="1"/>
              <w:left w:val="single" w:color="AAAAAA" w:sz="1"/>
              <w:bottom w:val="single" w:color="AAAAAA" w:sz="1"/>
              <w:right w:val="single" w:color="AAAAAA" w:sz="1"/>
            </w:tcBorders>
            <w:shd w:fill="F8F8F8" w:val="clear"/>
            <w:tcMar>
              <w:top w:type="dxa" w:w="80"/>
              <w:left w:type="dxa" w:w="100"/>
              <w:bottom w:type="dxa" w:w="80"/>
              <w:right w:type="dxa" w:w="100"/>
            </w:tcMar>
          </w:tcPr>
          <w:p>
            <w:r>
              <w:rPr>
                <w:rFonts w:ascii="Arial" w:cs="Arial" w:eastAsia="Arial" w:hAnsi="Arial"/>
                <w:sz w:val="18"/>
                <w:szCs w:val="18"/>
              </w:rPr>
              <w:t xml:space="preserve">Google Scholar: 'Kilby World Bank project preparation political economy' | JSTOR/ScienceDirect for Journal of Development Economics | Also check: Kilby (2013) 'The political economy of aid and recipient capabilities'.</w:t>
            </w:r>
          </w:p>
        </w:tc>
      </w:tr>
    </w:tbl>
    <w:p>
      <w:pPr>
        <w:spacing w:after="300"/>
      </w:pPr>
    </w:p>
    <w:p>
      <w:pPr>
        <w:pStyle w:val="Heading1"/>
      </w:pPr>
      <w:r>
        <w:rPr>
          <w:rFonts w:ascii="Arial" w:cs="Arial" w:eastAsia="Arial" w:hAnsi="Arial"/>
          <w:b/>
          <w:bCs/>
          <w:color w:val="2E4057"/>
          <w:sz w:val="32"/>
          <w:szCs w:val="32"/>
        </w:rPr>
        <w:t xml:space="preserve">Copy-Paste Ready — Synthesis Project Output</w:t>
      </w:r>
    </w:p>
    <w:p>
      <w:pPr>
        <w:spacing w:after="120"/>
      </w:pPr>
      <w:r>
        <w:rPr>
          <w:rFonts w:ascii="Arial" w:cs="Arial" w:eastAsia="Arial" w:hAnsi="Arial"/>
          <w:b/>
          <w:bCs/>
          <w:sz w:val="22"/>
          <w:szCs w:val="22"/>
        </w:rPr>
        <w:t xml:space="preserve">Stream: Causal Identification in Development — Project-Level MDB Outcome Determinants</w:t>
      </w:r>
    </w:p>
    <w:p>
      <w:pPr>
        <w:spacing w:after="80"/>
      </w:pPr>
      <w:r>
        <w:rPr>
          <w:rFonts w:ascii="Arial" w:cs="Arial" w:eastAsia="Arial" w:hAnsi="Arial"/>
          <w:sz w:val="20"/>
          <w:szCs w:val="20"/>
        </w:rPr>
        <w:t xml:space="preserve">Papers coded: 8 | Included: 2 | Excluded: 6</w:t>
      </w:r>
    </w:p>
    <w:p>
      <w:pPr>
        <w:spacing w:after="80"/>
      </w:pPr>
      <w:r>
        <w:rPr>
          <w:rFonts w:ascii="Arial" w:cs="Arial" w:eastAsia="Arial" w:hAnsi="Arial"/>
          <w:sz w:val="20"/>
          <w:szCs w:val="20"/>
        </w:rPr>
        <w:t xml:space="preserve">Gap statement: No prior study operationalises pre-approval Quality at Entry (QE) as a direct, structured predictor of project outcomes at scale across sectors within a single MDB portfolio.</w:t>
      </w:r>
    </w:p>
    <w:p>
      <w:pPr>
        <w:spacing w:after="80"/>
      </w:pPr>
      <w:r>
        <w:rPr>
          <w:rFonts w:ascii="Arial" w:cs="Arial" w:eastAsia="Arial" w:hAnsi="Arial"/>
          <w:sz w:val="20"/>
          <w:szCs w:val="20"/>
        </w:rPr>
        <w:t xml:space="preserve">Key anchoring papers: Lee (2016) — World Bank education projects, logit on IEG ratings, n≈400–700; Kryg (2020) — EBRD investments, Heckman-corrected logit, n=1,573.</w:t>
      </w:r>
    </w:p>
    <w:p>
      <w:pPr>
        <w:spacing w:after="80"/>
      </w:pPr>
      <w:r>
        <w:rPr>
          <w:rFonts w:ascii="Arial" w:cs="Arial" w:eastAsia="Arial" w:hAnsi="Arial"/>
          <w:sz w:val="20"/>
          <w:szCs w:val="20"/>
        </w:rPr>
        <w:t xml:space="preserve">Brandon's advance over stream: (1) Direct QE operationalisation [not proxies]; (2) Cross-sector scope [not single sector]; (3) n=12,328 [6–30x larger]; (4) OR=27.8 quantification [effect magnitude never reported in stream]; (5) Causal framing using QE as pre-approval exogenous design quality measure.</w:t>
      </w:r>
    </w:p>
    <w:p>
      <w:pPr>
        <w:spacing w:after="80"/>
      </w:pPr>
      <w:r>
        <w:rPr>
          <w:rFonts w:ascii="Arial" w:cs="Arial" w:eastAsia="Arial" w:hAnsi="Arial"/>
          <w:sz w:val="20"/>
          <w:szCs w:val="20"/>
        </w:rPr>
        <w:t xml:space="preserve">Forward citations to chase: (1) Denizer, Kaufmann &amp; Kraay (2013); (2) Bulman, Kolb &amp; Kraay (2017 WB WP); (3) Kilby (2000/2013).</w:t>
      </w:r>
    </w:p>
    <w:p>
      <w:pPr>
        <w:spacing w:after="80"/>
      </w:pPr>
      <w:r>
        <w:rPr>
          <w:rFonts w:ascii="Arial" w:cs="Arial" w:eastAsia="Arial" w:hAnsi="Arial"/>
          <w:sz w:val="20"/>
          <w:szCs w:val="20"/>
        </w:rPr>
        <w:t xml:space="preserve">Literature chain for thesis: Burnside &amp; Dollar (1997) [aid effectiveness macro] → Denizer et al. (2013) [project-level correlates] → Lee (2016) [education sector logit] → Kryg (2020) [MDB project design, Heckman] → Brandon (202x) [QE causal effect, OR=27.8, n=12,328].</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4A7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2026-02-23T02:26:32.878Z</dcterms:created>
  <dcterms:modified xsi:type="dcterms:W3CDTF">2026-02-23T02:26:32.878Z</dcterms:modified>
</cp:coreProperties>
</file>

<file path=docProps/custom.xml><?xml version="1.0" encoding="utf-8"?>
<Properties xmlns="http://schemas.openxmlformats.org/officeDocument/2006/custom-properties" xmlns:vt="http://schemas.openxmlformats.org/officeDocument/2006/docPropsVTypes"/>
</file>