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5103E" w14:textId="77777777" w:rsidR="00F607F2" w:rsidRPr="00F607F2" w:rsidRDefault="00F607F2" w:rsidP="00F607F2">
      <w:pPr>
        <w:rPr>
          <w:rFonts w:ascii="Arial" w:eastAsia="Arial" w:hAnsi="Arial" w:cs="Arial"/>
          <w:b/>
          <w:bCs/>
          <w:i/>
          <w:iCs/>
          <w:sz w:val="14"/>
          <w:szCs w:val="14"/>
        </w:rPr>
      </w:pPr>
      <w:r w:rsidRPr="00F607F2">
        <w:rPr>
          <w:rFonts w:ascii="Arial" w:eastAsia="Arial" w:hAnsi="Arial" w:cs="Arial"/>
          <w:b/>
          <w:bCs/>
          <w:i/>
          <w:iCs/>
          <w:sz w:val="14"/>
          <w:szCs w:val="14"/>
        </w:rPr>
        <w:t>Towards complete development finance data: Quantifying China's international education co-operation and presence in the Global South</w:t>
      </w:r>
    </w:p>
    <w:p w14:paraId="380CD44B" w14:textId="77777777" w:rsidR="00F607F2" w:rsidRPr="00F607F2" w:rsidRDefault="00F607F2" w:rsidP="00F607F2">
      <w:pPr>
        <w:rPr>
          <w:rFonts w:ascii="Arial" w:eastAsia="Arial" w:hAnsi="Arial" w:cs="Arial"/>
          <w:i/>
          <w:iCs/>
          <w:sz w:val="14"/>
          <w:szCs w:val="14"/>
        </w:rPr>
      </w:pPr>
      <w:hyperlink r:id="rId5" w:history="1">
        <w:r w:rsidRPr="00F607F2">
          <w:rPr>
            <w:rStyle w:val="Hyperlink"/>
            <w:rFonts w:ascii="Arial" w:eastAsia="Arial" w:hAnsi="Arial" w:cs="Arial"/>
            <w:i/>
            <w:iCs/>
            <w:color w:val="auto"/>
            <w:sz w:val="14"/>
            <w:szCs w:val="14"/>
          </w:rPr>
          <w:t>Kenichi Doi</w:t>
        </w:r>
      </w:hyperlink>
      <w:r w:rsidRPr="00F607F2">
        <w:rPr>
          <w:rFonts w:ascii="Arial" w:eastAsia="Arial" w:hAnsi="Arial" w:cs="Arial"/>
          <w:i/>
          <w:iCs/>
          <w:sz w:val="14"/>
          <w:szCs w:val="14"/>
        </w:rPr>
        <w:t>, </w:t>
      </w:r>
      <w:hyperlink r:id="rId6" w:history="1">
        <w:r w:rsidRPr="00F607F2">
          <w:rPr>
            <w:rStyle w:val="Hyperlink"/>
            <w:rFonts w:ascii="Arial" w:eastAsia="Arial" w:hAnsi="Arial" w:cs="Arial"/>
            <w:i/>
            <w:iCs/>
            <w:color w:val="auto"/>
            <w:sz w:val="14"/>
            <w:szCs w:val="14"/>
          </w:rPr>
          <w:t>Ami Ikeda</w:t>
        </w:r>
      </w:hyperlink>
      <w:r w:rsidRPr="00F607F2">
        <w:rPr>
          <w:rFonts w:ascii="Arial" w:eastAsia="Arial" w:hAnsi="Arial" w:cs="Arial"/>
          <w:i/>
          <w:iCs/>
          <w:sz w:val="14"/>
          <w:szCs w:val="14"/>
        </w:rPr>
        <w:t>, </w:t>
      </w:r>
      <w:hyperlink r:id="rId7" w:history="1">
        <w:r w:rsidRPr="00F607F2">
          <w:rPr>
            <w:rStyle w:val="Hyperlink"/>
            <w:rFonts w:ascii="Arial" w:eastAsia="Arial" w:hAnsi="Arial" w:cs="Arial"/>
            <w:i/>
            <w:iCs/>
            <w:color w:val="auto"/>
            <w:sz w:val="14"/>
            <w:szCs w:val="14"/>
          </w:rPr>
          <w:t>Yuki Murakami</w:t>
        </w:r>
      </w:hyperlink>
      <w:r w:rsidRPr="00F607F2">
        <w:rPr>
          <w:rFonts w:ascii="Arial" w:eastAsia="Arial" w:hAnsi="Arial" w:cs="Arial"/>
          <w:i/>
          <w:iCs/>
          <w:sz w:val="14"/>
          <w:szCs w:val="14"/>
        </w:rPr>
        <w:t>, </w:t>
      </w:r>
      <w:hyperlink r:id="rId8" w:history="1">
        <w:r w:rsidRPr="00F607F2">
          <w:rPr>
            <w:rStyle w:val="Hyperlink"/>
            <w:rFonts w:ascii="Arial" w:eastAsia="Arial" w:hAnsi="Arial" w:cs="Arial"/>
            <w:i/>
            <w:iCs/>
            <w:color w:val="auto"/>
            <w:sz w:val="14"/>
            <w:szCs w:val="14"/>
          </w:rPr>
          <w:t>Kazuo Kuroda</w:t>
        </w:r>
      </w:hyperlink>
    </w:p>
    <w:p w14:paraId="5F391CCF"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First published: 25 April 2024</w:t>
      </w:r>
    </w:p>
    <w:p w14:paraId="2D1309B1" w14:textId="77777777" w:rsidR="00F607F2" w:rsidRPr="00F607F2" w:rsidRDefault="00F607F2" w:rsidP="00F607F2">
      <w:pPr>
        <w:rPr>
          <w:rFonts w:ascii="Arial" w:eastAsia="Arial" w:hAnsi="Arial" w:cs="Arial"/>
          <w:i/>
          <w:iCs/>
          <w:sz w:val="14"/>
          <w:szCs w:val="14"/>
        </w:rPr>
      </w:pPr>
      <w:hyperlink r:id="rId9" w:history="1">
        <w:r w:rsidRPr="00F607F2">
          <w:rPr>
            <w:rStyle w:val="Hyperlink"/>
            <w:rFonts w:ascii="Arial" w:eastAsia="Arial" w:hAnsi="Arial" w:cs="Arial"/>
            <w:b/>
            <w:bCs/>
            <w:i/>
            <w:iCs/>
            <w:color w:val="auto"/>
            <w:sz w:val="14"/>
            <w:szCs w:val="14"/>
          </w:rPr>
          <w:t>https://doi.org/10.1111/dpr.12777Digital Object Identifier (DOI)</w:t>
        </w:r>
      </w:hyperlink>
    </w:p>
    <w:p w14:paraId="7E8F1E47" w14:textId="77777777" w:rsidR="00F607F2" w:rsidRPr="00F607F2" w:rsidRDefault="00F607F2" w:rsidP="00F607F2">
      <w:pPr>
        <w:rPr>
          <w:rFonts w:ascii="Arial" w:eastAsia="Arial" w:hAnsi="Arial" w:cs="Arial"/>
          <w:b/>
          <w:bCs/>
          <w:i/>
          <w:iCs/>
          <w:sz w:val="14"/>
          <w:szCs w:val="14"/>
        </w:rPr>
      </w:pPr>
      <w:r w:rsidRPr="00F607F2">
        <w:rPr>
          <w:rFonts w:ascii="Arial" w:eastAsia="Arial" w:hAnsi="Arial" w:cs="Arial"/>
          <w:b/>
          <w:bCs/>
          <w:i/>
          <w:iCs/>
          <w:sz w:val="14"/>
          <w:szCs w:val="14"/>
        </w:rPr>
        <w:t>Abstract</w:t>
      </w:r>
    </w:p>
    <w:p w14:paraId="53899383"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Motivation</w:t>
      </w:r>
    </w:p>
    <w:p w14:paraId="5FECDD08"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China does not participate in the development co-operation reporting mechanism of the Organisation for Economic Co-operation and Development's (OECD) development co-operation reporting mechanism, nor does it voluntarily publish overseas development finance data. Despite recent quantitative research on China's foreign aid to other sectors, such as health, no precedent exists for quantifying China's international education co-operation (IEC).</w:t>
      </w:r>
    </w:p>
    <w:p w14:paraId="1CE870F2"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Purpose</w:t>
      </w:r>
    </w:p>
    <w:p w14:paraId="1C41C31E"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This article will use </w:t>
      </w:r>
      <w:proofErr w:type="spellStart"/>
      <w:r w:rsidRPr="00F607F2">
        <w:rPr>
          <w:rFonts w:ascii="Arial" w:eastAsia="Arial" w:hAnsi="Arial" w:cs="Arial"/>
          <w:i/>
          <w:iCs/>
          <w:sz w:val="14"/>
          <w:szCs w:val="14"/>
        </w:rPr>
        <w:t>AidData's</w:t>
      </w:r>
      <w:proofErr w:type="spellEnd"/>
      <w:r w:rsidRPr="00F607F2">
        <w:rPr>
          <w:rFonts w:ascii="Arial" w:eastAsia="Arial" w:hAnsi="Arial" w:cs="Arial"/>
          <w:i/>
          <w:iCs/>
          <w:sz w:val="14"/>
          <w:szCs w:val="14"/>
        </w:rPr>
        <w:t xml:space="preserve"> Chinese Official Finance Dataset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2.0) to estimate the IEC using the OECD's internationally standardized definitions of development finance and frameworks for classifying IEC projects.</w:t>
      </w:r>
    </w:p>
    <w:p w14:paraId="21E70927"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Approach and methods</w:t>
      </w:r>
    </w:p>
    <w:p w14:paraId="3756D9F0"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We thoroughly examined all types of IEC projects, including official finance projects other than those that meet the definition of official development assistance (ODA). In our comparative analysis of educational aid between China and traditional donors, we focused on ODA-like projects and examined the number of projects and funding amounts to determine China's IEC priorities.</w:t>
      </w:r>
    </w:p>
    <w:p w14:paraId="19F38B94"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Findings</w:t>
      </w:r>
    </w:p>
    <w:p w14:paraId="2F3E79DE"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The result shows that, between 2000 and 2017, China's IEC commitments totalled 1,524 education-related international projects, representing 12% of the total international finance project portfolio, most of which are in Africa. Compared to the OECD framework, China prioritized higher education (n = 784, 51%) and education facilities and training (n = 244, 16%). An estimate of cumulative funding between 2000 to 2017 showed that China was the 10th largest donor of education aid to African countries, behind France, the World Bank, Germany, the United States, the EU, the United Kingdom, Canada, Japan, and the Netherlands.</w:t>
      </w:r>
    </w:p>
    <w:p w14:paraId="0AD60FF8"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Policy implications</w:t>
      </w:r>
    </w:p>
    <w:p w14:paraId="512F5A29"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The findings of this study help our understanding of China's IEC finance. With China's involvement in education development aid growing in recent years and donors looking for solutions to developing countries' debt crises, this will allow for more effective collaboration, co-ordination, and resource mobilization for both donor and recipient countries.</w:t>
      </w:r>
    </w:p>
    <w:p w14:paraId="20A2B229" w14:textId="77777777" w:rsidR="00F607F2" w:rsidRPr="00F607F2" w:rsidRDefault="00F607F2" w:rsidP="00F607F2">
      <w:pPr>
        <w:rPr>
          <w:rFonts w:ascii="Arial" w:eastAsia="Arial" w:hAnsi="Arial" w:cs="Arial"/>
          <w:b/>
          <w:bCs/>
          <w:i/>
          <w:iCs/>
          <w:sz w:val="14"/>
          <w:szCs w:val="14"/>
        </w:rPr>
      </w:pPr>
      <w:r w:rsidRPr="00F607F2">
        <w:rPr>
          <w:rFonts w:ascii="Arial" w:eastAsia="Arial" w:hAnsi="Arial" w:cs="Arial"/>
          <w:b/>
          <w:bCs/>
          <w:i/>
          <w:iCs/>
          <w:sz w:val="14"/>
          <w:szCs w:val="14"/>
        </w:rPr>
        <w:t>1 INTRODUCTION</w:t>
      </w:r>
    </w:p>
    <w:p w14:paraId="1C998B84"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In international education co-operation (IEC), the Group of Seven (G7) frequently takes centre stage in international conferences and fund replenishment. In recent years, emerging markets have gained prominence in development finance, and China's role as an IEC funder has grown dramatically over the last few decades. This study seeks to better understand the evolution of China's IEC and its funding since 2000. Since 1950, China has engaged (as a “developing country”) in global education development through co-operation between developing countries, also known as “South–South Co-operation” (Niu, </w:t>
      </w:r>
      <w:hyperlink r:id="rId10" w:anchor="dpr12777-bib-0035" w:history="1">
        <w:r w:rsidRPr="00F607F2">
          <w:rPr>
            <w:rStyle w:val="Hyperlink"/>
            <w:rFonts w:ascii="Arial" w:eastAsia="Arial" w:hAnsi="Arial" w:cs="Arial"/>
            <w:b/>
            <w:bCs/>
            <w:i/>
            <w:iCs/>
            <w:color w:val="auto"/>
            <w:sz w:val="14"/>
            <w:szCs w:val="14"/>
          </w:rPr>
          <w:t>2014</w:t>
        </w:r>
      </w:hyperlink>
      <w:r w:rsidRPr="00F607F2">
        <w:rPr>
          <w:rFonts w:ascii="Arial" w:eastAsia="Arial" w:hAnsi="Arial" w:cs="Arial"/>
          <w:i/>
          <w:iCs/>
          <w:sz w:val="14"/>
          <w:szCs w:val="14"/>
        </w:rPr>
        <w:t>; Yamada, </w:t>
      </w:r>
      <w:hyperlink r:id="rId11" w:anchor="dpr12777-bib-0051" w:history="1">
        <w:r w:rsidRPr="00F607F2">
          <w:rPr>
            <w:rStyle w:val="Hyperlink"/>
            <w:rFonts w:ascii="Arial" w:eastAsia="Arial" w:hAnsi="Arial" w:cs="Arial"/>
            <w:b/>
            <w:bCs/>
            <w:i/>
            <w:iCs/>
            <w:color w:val="auto"/>
            <w:sz w:val="14"/>
            <w:szCs w:val="14"/>
          </w:rPr>
          <w:t>2014</w:t>
        </w:r>
      </w:hyperlink>
      <w:r w:rsidRPr="00F607F2">
        <w:rPr>
          <w:rFonts w:ascii="Arial" w:eastAsia="Arial" w:hAnsi="Arial" w:cs="Arial"/>
          <w:i/>
          <w:iCs/>
          <w:sz w:val="14"/>
          <w:szCs w:val="14"/>
        </w:rPr>
        <w:t>). Shortly after the establishment of the People's Republic in 1949, the Chinese government began providing education aid to other countries, such as donating teaching materials and sending experts to train personnel in recipient countries. China established a system for accepting international students (The State Council Information Office of PRC, </w:t>
      </w:r>
      <w:hyperlink r:id="rId12" w:anchor="dpr12777-bib-0044" w:history="1">
        <w:r w:rsidRPr="00F607F2">
          <w:rPr>
            <w:rStyle w:val="Hyperlink"/>
            <w:rFonts w:ascii="Arial" w:eastAsia="Arial" w:hAnsi="Arial" w:cs="Arial"/>
            <w:b/>
            <w:bCs/>
            <w:i/>
            <w:iCs/>
            <w:color w:val="auto"/>
            <w:sz w:val="14"/>
            <w:szCs w:val="14"/>
          </w:rPr>
          <w:t>2011</w:t>
        </w:r>
      </w:hyperlink>
      <w:r w:rsidRPr="00F607F2">
        <w:rPr>
          <w:rFonts w:ascii="Arial" w:eastAsia="Arial" w:hAnsi="Arial" w:cs="Arial"/>
          <w:i/>
          <w:iCs/>
          <w:sz w:val="14"/>
          <w:szCs w:val="14"/>
        </w:rPr>
        <w:t>; Xue, </w:t>
      </w:r>
      <w:hyperlink r:id="rId13" w:anchor="dpr12777-bib-0050" w:history="1">
        <w:r w:rsidRPr="00F607F2">
          <w:rPr>
            <w:rStyle w:val="Hyperlink"/>
            <w:rFonts w:ascii="Arial" w:eastAsia="Arial" w:hAnsi="Arial" w:cs="Arial"/>
            <w:b/>
            <w:bCs/>
            <w:i/>
            <w:iCs/>
            <w:color w:val="auto"/>
            <w:sz w:val="14"/>
            <w:szCs w:val="14"/>
          </w:rPr>
          <w:t>2020</w:t>
        </w:r>
      </w:hyperlink>
      <w:r w:rsidRPr="00F607F2">
        <w:rPr>
          <w:rFonts w:ascii="Arial" w:eastAsia="Arial" w:hAnsi="Arial" w:cs="Arial"/>
          <w:i/>
          <w:iCs/>
          <w:sz w:val="14"/>
          <w:szCs w:val="14"/>
        </w:rPr>
        <w:t>). The Bandung Conference of 1955 paved the way for co-operation between China and Asian and African nations. The Chinese government has established co-operative relations with African countries based on the “Five Principles of Peaceful Coexistence” adopted at the conference. In 1956, when China established diplomatic relations with Egypt, it accepted five Egyptian students, making them the first group of international students funded by the Chinese government (Lou, </w:t>
      </w:r>
      <w:hyperlink r:id="rId14" w:anchor="dpr12777-bib-0030" w:history="1">
        <w:r w:rsidRPr="00F607F2">
          <w:rPr>
            <w:rStyle w:val="Hyperlink"/>
            <w:rFonts w:ascii="Arial" w:eastAsia="Arial" w:hAnsi="Arial" w:cs="Arial"/>
            <w:b/>
            <w:bCs/>
            <w:i/>
            <w:iCs/>
            <w:color w:val="auto"/>
            <w:sz w:val="14"/>
            <w:szCs w:val="14"/>
          </w:rPr>
          <w:t>2014</w:t>
        </w:r>
      </w:hyperlink>
      <w:r w:rsidRPr="00F607F2">
        <w:rPr>
          <w:rFonts w:ascii="Arial" w:eastAsia="Arial" w:hAnsi="Arial" w:cs="Arial"/>
          <w:i/>
          <w:iCs/>
          <w:sz w:val="14"/>
          <w:szCs w:val="14"/>
        </w:rPr>
        <w:t>). In the late 1970s, China began its “reform and opening-up” policy and its foreign aid began to focus on “mutual benefit” with its recipient countries rather than one-way giving, under the guise of South–South Co-operation (Wang &amp; Guo, </w:t>
      </w:r>
      <w:hyperlink r:id="rId15" w:anchor="dpr12777-bib-0047" w:history="1">
        <w:r w:rsidRPr="00F607F2">
          <w:rPr>
            <w:rStyle w:val="Hyperlink"/>
            <w:rFonts w:ascii="Arial" w:eastAsia="Arial" w:hAnsi="Arial" w:cs="Arial"/>
            <w:b/>
            <w:bCs/>
            <w:i/>
            <w:iCs/>
            <w:color w:val="auto"/>
            <w:sz w:val="14"/>
            <w:szCs w:val="14"/>
          </w:rPr>
          <w:t>2023</w:t>
        </w:r>
      </w:hyperlink>
      <w:r w:rsidRPr="00F607F2">
        <w:rPr>
          <w:rFonts w:ascii="Arial" w:eastAsia="Arial" w:hAnsi="Arial" w:cs="Arial"/>
          <w:i/>
          <w:iCs/>
          <w:sz w:val="14"/>
          <w:szCs w:val="14"/>
        </w:rPr>
        <w:t>). China has promoted and diversified its support for education in developing countries, primarily by increasing the number of foreign students who come to China, providing government scholarships, assisting in the construction and maintenance of educational infrastructure, and training teachers (Doi, </w:t>
      </w:r>
      <w:hyperlink r:id="rId16" w:anchor="dpr12777-bib-0007" w:history="1">
        <w:r w:rsidRPr="00F607F2">
          <w:rPr>
            <w:rStyle w:val="Hyperlink"/>
            <w:rFonts w:ascii="Arial" w:eastAsia="Arial" w:hAnsi="Arial" w:cs="Arial"/>
            <w:b/>
            <w:bCs/>
            <w:i/>
            <w:iCs/>
            <w:color w:val="auto"/>
            <w:sz w:val="14"/>
            <w:szCs w:val="14"/>
          </w:rPr>
          <w:t>2022</w:t>
        </w:r>
      </w:hyperlink>
      <w:r w:rsidRPr="00F607F2">
        <w:rPr>
          <w:rFonts w:ascii="Arial" w:eastAsia="Arial" w:hAnsi="Arial" w:cs="Arial"/>
          <w:i/>
          <w:iCs/>
          <w:sz w:val="14"/>
          <w:szCs w:val="14"/>
        </w:rPr>
        <w:t>). China has also increased its support for vocational and special education in developing countries (Chinese Academy of International Trade and Economic Cooperation, </w:t>
      </w:r>
      <w:hyperlink r:id="rId17" w:anchor="dpr12777-bib-0003" w:history="1">
        <w:r w:rsidRPr="00F607F2">
          <w:rPr>
            <w:rStyle w:val="Hyperlink"/>
            <w:rFonts w:ascii="Arial" w:eastAsia="Arial" w:hAnsi="Arial" w:cs="Arial"/>
            <w:b/>
            <w:bCs/>
            <w:i/>
            <w:iCs/>
            <w:color w:val="auto"/>
            <w:sz w:val="14"/>
            <w:szCs w:val="14"/>
          </w:rPr>
          <w:t>2018</w:t>
        </w:r>
      </w:hyperlink>
      <w:r w:rsidRPr="00F607F2">
        <w:rPr>
          <w:rFonts w:ascii="Arial" w:eastAsia="Arial" w:hAnsi="Arial" w:cs="Arial"/>
          <w:i/>
          <w:iCs/>
          <w:sz w:val="14"/>
          <w:szCs w:val="14"/>
        </w:rPr>
        <w:t>).</w:t>
      </w:r>
    </w:p>
    <w:p w14:paraId="4989F868"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Since the beginning of the 21st century, China's IEC has grown dramatically in tandem with the rapid expansion of its overall national influence, reflecting its dual role as an aid recipient and donor. China is listed as an Organisation for Economic Co-operation and Development (OECD) </w:t>
      </w:r>
      <w:proofErr w:type="gramStart"/>
      <w:r w:rsidRPr="00F607F2">
        <w:rPr>
          <w:rFonts w:ascii="Arial" w:eastAsia="Arial" w:hAnsi="Arial" w:cs="Arial"/>
          <w:i/>
          <w:iCs/>
          <w:sz w:val="14"/>
          <w:szCs w:val="14"/>
        </w:rPr>
        <w:t>recipient</w:t>
      </w:r>
      <w:proofErr w:type="gramEnd"/>
      <w:r w:rsidRPr="00F607F2">
        <w:rPr>
          <w:rFonts w:ascii="Arial" w:eastAsia="Arial" w:hAnsi="Arial" w:cs="Arial"/>
          <w:i/>
          <w:iCs/>
          <w:sz w:val="14"/>
          <w:szCs w:val="14"/>
        </w:rPr>
        <w:t xml:space="preserve"> and it continues to receive more than a billion dollars in official development assistance (ODA) from traditional donors such as Germany, France, and the UK. This emphasis on overseas finance, including foreign aid, as a strategic tool of its diplomacy and commercial interests under the umbrella of South–South Co-operation, which emphasizes “mutual benefits.” Furthermore, it reflects China's commitment to international development, which has resulted in new forms of international development co-operation (Zheng, </w:t>
      </w:r>
      <w:hyperlink r:id="rId18" w:anchor="dpr12777-bib-0057" w:history="1">
        <w:r w:rsidRPr="00F607F2">
          <w:rPr>
            <w:rStyle w:val="Hyperlink"/>
            <w:rFonts w:ascii="Arial" w:eastAsia="Arial" w:hAnsi="Arial" w:cs="Arial"/>
            <w:b/>
            <w:bCs/>
            <w:i/>
            <w:iCs/>
            <w:color w:val="auto"/>
            <w:sz w:val="14"/>
            <w:szCs w:val="14"/>
          </w:rPr>
          <w:t>2018</w:t>
        </w:r>
      </w:hyperlink>
      <w:r w:rsidRPr="00F607F2">
        <w:rPr>
          <w:rFonts w:ascii="Arial" w:eastAsia="Arial" w:hAnsi="Arial" w:cs="Arial"/>
          <w:i/>
          <w:iCs/>
          <w:sz w:val="14"/>
          <w:szCs w:val="14"/>
        </w:rPr>
        <w:t>). In particular, the Forum on China-Africa Cooperation (FOCAC) has emerged as a key driver in education and other sectors. China's education ODA includes scholarships for international students, school construction, equipment provision, short-term training, cultural exchanges, language and cultural education through Confucius Institutes (CIs), teacher dispatch, and university exchanges (Niu &amp; Liu, </w:t>
      </w:r>
      <w:hyperlink r:id="rId19" w:anchor="dpr12777-bib-0036" w:history="1">
        <w:r w:rsidRPr="00F607F2">
          <w:rPr>
            <w:rStyle w:val="Hyperlink"/>
            <w:rFonts w:ascii="Arial" w:eastAsia="Arial" w:hAnsi="Arial" w:cs="Arial"/>
            <w:b/>
            <w:bCs/>
            <w:i/>
            <w:iCs/>
            <w:color w:val="auto"/>
            <w:sz w:val="14"/>
            <w:szCs w:val="14"/>
          </w:rPr>
          <w:t>2016</w:t>
        </w:r>
      </w:hyperlink>
      <w:r w:rsidRPr="00F607F2">
        <w:rPr>
          <w:rFonts w:ascii="Arial" w:eastAsia="Arial" w:hAnsi="Arial" w:cs="Arial"/>
          <w:i/>
          <w:iCs/>
          <w:sz w:val="14"/>
          <w:szCs w:val="14"/>
        </w:rPr>
        <w:t>; Teng et al., </w:t>
      </w:r>
      <w:hyperlink r:id="rId20" w:anchor="dpr12777-bib-0043" w:history="1">
        <w:r w:rsidRPr="00F607F2">
          <w:rPr>
            <w:rStyle w:val="Hyperlink"/>
            <w:rFonts w:ascii="Arial" w:eastAsia="Arial" w:hAnsi="Arial" w:cs="Arial"/>
            <w:b/>
            <w:bCs/>
            <w:i/>
            <w:iCs/>
            <w:color w:val="auto"/>
            <w:sz w:val="14"/>
            <w:szCs w:val="14"/>
          </w:rPr>
          <w:t>2016</w:t>
        </w:r>
      </w:hyperlink>
      <w:r w:rsidRPr="00F607F2">
        <w:rPr>
          <w:rFonts w:ascii="Arial" w:eastAsia="Arial" w:hAnsi="Arial" w:cs="Arial"/>
          <w:i/>
          <w:iCs/>
          <w:sz w:val="14"/>
          <w:szCs w:val="14"/>
        </w:rPr>
        <w:t>). In the 2010s, China promoted research collaboration projects that combined “hardware construction” and “soft intelligence injection” to improve the synergistic effects of education aid (Chinese Academy of International Trade and Economic Cooperation, </w:t>
      </w:r>
      <w:hyperlink r:id="rId21" w:anchor="dpr12777-bib-0003" w:history="1">
        <w:r w:rsidRPr="00F607F2">
          <w:rPr>
            <w:rStyle w:val="Hyperlink"/>
            <w:rFonts w:ascii="Arial" w:eastAsia="Arial" w:hAnsi="Arial" w:cs="Arial"/>
            <w:b/>
            <w:bCs/>
            <w:i/>
            <w:iCs/>
            <w:color w:val="auto"/>
            <w:sz w:val="14"/>
            <w:szCs w:val="14"/>
          </w:rPr>
          <w:t>2018</w:t>
        </w:r>
      </w:hyperlink>
      <w:r w:rsidRPr="00F607F2">
        <w:rPr>
          <w:rFonts w:ascii="Arial" w:eastAsia="Arial" w:hAnsi="Arial" w:cs="Arial"/>
          <w:i/>
          <w:iCs/>
          <w:sz w:val="14"/>
          <w:szCs w:val="14"/>
        </w:rPr>
        <w:t>). Foreign aid projects have expanded with the establishment of research centres and joint research projects, which cover a broader range of fields and require a higher level of collaboration. For example, in 2015 China supported the establishment of the Sino-Africa Joint Research Centre at Jomo Kenyatta University of Agriculture and Technology in Kenya, and later the Chinese Academy of Sciences collaborated with several East African universities to establish five major specialized research centres (The State Council Information Office of the PRC, </w:t>
      </w:r>
      <w:hyperlink r:id="rId22" w:anchor="dpr12777-bib-0046" w:history="1">
        <w:r w:rsidRPr="00F607F2">
          <w:rPr>
            <w:rStyle w:val="Hyperlink"/>
            <w:rFonts w:ascii="Arial" w:eastAsia="Arial" w:hAnsi="Arial" w:cs="Arial"/>
            <w:b/>
            <w:bCs/>
            <w:i/>
            <w:iCs/>
            <w:color w:val="auto"/>
            <w:sz w:val="14"/>
            <w:szCs w:val="14"/>
          </w:rPr>
          <w:t>2021</w:t>
        </w:r>
      </w:hyperlink>
      <w:r w:rsidRPr="00F607F2">
        <w:rPr>
          <w:rFonts w:ascii="Arial" w:eastAsia="Arial" w:hAnsi="Arial" w:cs="Arial"/>
          <w:i/>
          <w:iCs/>
          <w:sz w:val="14"/>
          <w:szCs w:val="14"/>
        </w:rPr>
        <w:t>).</w:t>
      </w:r>
    </w:p>
    <w:p w14:paraId="4D0B8320"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lastRenderedPageBreak/>
        <w:t xml:space="preserve">Unlike many donors, China does not use the OECD aid reporting mechanism. However, this lack of transparency regarding China's foreign aid attracts international researchers who attempt to track the volumes of China's overseas finance (Boston University Global Development Policy </w:t>
      </w:r>
      <w:proofErr w:type="spellStart"/>
      <w:r w:rsidRPr="00F607F2">
        <w:rPr>
          <w:rFonts w:ascii="Arial" w:eastAsia="Arial" w:hAnsi="Arial" w:cs="Arial"/>
          <w:i/>
          <w:iCs/>
          <w:sz w:val="14"/>
          <w:szCs w:val="14"/>
        </w:rPr>
        <w:t>Center</w:t>
      </w:r>
      <w:proofErr w:type="spellEnd"/>
      <w:r w:rsidRPr="00F607F2">
        <w:rPr>
          <w:rFonts w:ascii="Arial" w:eastAsia="Arial" w:hAnsi="Arial" w:cs="Arial"/>
          <w:i/>
          <w:iCs/>
          <w:sz w:val="14"/>
          <w:szCs w:val="14"/>
        </w:rPr>
        <w:t>, </w:t>
      </w:r>
      <w:hyperlink r:id="rId23" w:anchor="dpr12777-bib-0001" w:history="1">
        <w:r w:rsidRPr="00F607F2">
          <w:rPr>
            <w:rStyle w:val="Hyperlink"/>
            <w:rFonts w:ascii="Arial" w:eastAsia="Arial" w:hAnsi="Arial" w:cs="Arial"/>
            <w:b/>
            <w:bCs/>
            <w:i/>
            <w:iCs/>
            <w:color w:val="auto"/>
            <w:sz w:val="14"/>
            <w:szCs w:val="14"/>
          </w:rPr>
          <w:t>n.d.</w:t>
        </w:r>
      </w:hyperlink>
      <w:r w:rsidRPr="00F607F2">
        <w:rPr>
          <w:rFonts w:ascii="Arial" w:eastAsia="Arial" w:hAnsi="Arial" w:cs="Arial"/>
          <w:i/>
          <w:iCs/>
          <w:sz w:val="14"/>
          <w:szCs w:val="14"/>
        </w:rPr>
        <w:t>; Kitano &amp; Harada, </w:t>
      </w:r>
      <w:hyperlink r:id="rId24" w:anchor="dpr12777-bib-0025" w:history="1">
        <w:r w:rsidRPr="00F607F2">
          <w:rPr>
            <w:rStyle w:val="Hyperlink"/>
            <w:rFonts w:ascii="Arial" w:eastAsia="Arial" w:hAnsi="Arial" w:cs="Arial"/>
            <w:b/>
            <w:bCs/>
            <w:i/>
            <w:iCs/>
            <w:color w:val="auto"/>
            <w:sz w:val="14"/>
            <w:szCs w:val="14"/>
          </w:rPr>
          <w:t>2016</w:t>
        </w:r>
      </w:hyperlink>
      <w:r w:rsidRPr="00F607F2">
        <w:rPr>
          <w:rFonts w:ascii="Arial" w:eastAsia="Arial" w:hAnsi="Arial" w:cs="Arial"/>
          <w:i/>
          <w:iCs/>
          <w:sz w:val="14"/>
          <w:szCs w:val="14"/>
        </w:rPr>
        <w:t xml:space="preserve">; Kitano &amp; </w:t>
      </w:r>
      <w:proofErr w:type="spellStart"/>
      <w:r w:rsidRPr="00F607F2">
        <w:rPr>
          <w:rFonts w:ascii="Arial" w:eastAsia="Arial" w:hAnsi="Arial" w:cs="Arial"/>
          <w:i/>
          <w:iCs/>
          <w:sz w:val="14"/>
          <w:szCs w:val="14"/>
        </w:rPr>
        <w:t>Miyabayashi</w:t>
      </w:r>
      <w:proofErr w:type="spellEnd"/>
      <w:r w:rsidRPr="00F607F2">
        <w:rPr>
          <w:rFonts w:ascii="Arial" w:eastAsia="Arial" w:hAnsi="Arial" w:cs="Arial"/>
          <w:i/>
          <w:iCs/>
          <w:sz w:val="14"/>
          <w:szCs w:val="14"/>
        </w:rPr>
        <w:t>, </w:t>
      </w:r>
      <w:hyperlink r:id="rId25" w:anchor="dpr12777-bib-0026" w:history="1">
        <w:r w:rsidRPr="00F607F2">
          <w:rPr>
            <w:rStyle w:val="Hyperlink"/>
            <w:rFonts w:ascii="Arial" w:eastAsia="Arial" w:hAnsi="Arial" w:cs="Arial"/>
            <w:b/>
            <w:bCs/>
            <w:i/>
            <w:iCs/>
            <w:color w:val="auto"/>
            <w:sz w:val="14"/>
            <w:szCs w:val="14"/>
          </w:rPr>
          <w:t>2020</w:t>
        </w:r>
      </w:hyperlink>
      <w:r w:rsidRPr="00F607F2">
        <w:rPr>
          <w:rFonts w:ascii="Arial" w:eastAsia="Arial" w:hAnsi="Arial" w:cs="Arial"/>
          <w:i/>
          <w:iCs/>
          <w:sz w:val="14"/>
          <w:szCs w:val="14"/>
        </w:rPr>
        <w:t xml:space="preserve">). Many quantitative research outputs have been produced on China's development co-operation in recent years, owing to the creation of China's overseas finance dataset by some research institutes. Most such quantitative studies have used the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dataset of the College of William and Mary University Institute, which focuses on projects funded by Chinese public institutions (Custer et al., </w:t>
      </w:r>
      <w:hyperlink r:id="rId26" w:anchor="dpr12777-bib-0004" w:history="1">
        <w:r w:rsidRPr="00F607F2">
          <w:rPr>
            <w:rStyle w:val="Hyperlink"/>
            <w:rFonts w:ascii="Arial" w:eastAsia="Arial" w:hAnsi="Arial" w:cs="Arial"/>
            <w:b/>
            <w:bCs/>
            <w:i/>
            <w:iCs/>
            <w:color w:val="auto"/>
            <w:sz w:val="14"/>
            <w:szCs w:val="14"/>
          </w:rPr>
          <w:t>2021</w:t>
        </w:r>
      </w:hyperlink>
      <w:r w:rsidRPr="00F607F2">
        <w:rPr>
          <w:rFonts w:ascii="Arial" w:eastAsia="Arial" w:hAnsi="Arial" w:cs="Arial"/>
          <w:i/>
          <w:iCs/>
          <w:sz w:val="14"/>
          <w:szCs w:val="14"/>
        </w:rPr>
        <w:t>; Dreher et al., </w:t>
      </w:r>
      <w:hyperlink r:id="rId27" w:anchor="dpr12777-bib-0009" w:history="1">
        <w:r w:rsidRPr="00F607F2">
          <w:rPr>
            <w:rStyle w:val="Hyperlink"/>
            <w:rFonts w:ascii="Arial" w:eastAsia="Arial" w:hAnsi="Arial" w:cs="Arial"/>
            <w:b/>
            <w:bCs/>
            <w:i/>
            <w:iCs/>
            <w:color w:val="auto"/>
            <w:sz w:val="14"/>
            <w:szCs w:val="14"/>
          </w:rPr>
          <w:t>2021</w:t>
        </w:r>
      </w:hyperlink>
      <w:r w:rsidRPr="00F607F2">
        <w:rPr>
          <w:rFonts w:ascii="Arial" w:eastAsia="Arial" w:hAnsi="Arial" w:cs="Arial"/>
          <w:i/>
          <w:iCs/>
          <w:sz w:val="14"/>
          <w:szCs w:val="14"/>
        </w:rPr>
        <w:t>; Dreher et al., </w:t>
      </w:r>
      <w:hyperlink r:id="rId28" w:anchor="dpr12777-bib-0011" w:history="1">
        <w:r w:rsidRPr="00F607F2">
          <w:rPr>
            <w:rStyle w:val="Hyperlink"/>
            <w:rFonts w:ascii="Arial" w:eastAsia="Arial" w:hAnsi="Arial" w:cs="Arial"/>
            <w:b/>
            <w:bCs/>
            <w:i/>
            <w:iCs/>
            <w:color w:val="auto"/>
            <w:sz w:val="14"/>
            <w:szCs w:val="14"/>
          </w:rPr>
          <w:t>2022</w:t>
        </w:r>
      </w:hyperlink>
      <w:r w:rsidRPr="00F607F2">
        <w:rPr>
          <w:rFonts w:ascii="Arial" w:eastAsia="Arial" w:hAnsi="Arial" w:cs="Arial"/>
          <w:i/>
          <w:iCs/>
          <w:sz w:val="14"/>
          <w:szCs w:val="14"/>
        </w:rPr>
        <w:t xml:space="preserve">; Humphrey &amp; </w:t>
      </w:r>
      <w:proofErr w:type="spellStart"/>
      <w:r w:rsidRPr="00F607F2">
        <w:rPr>
          <w:rFonts w:ascii="Arial" w:eastAsia="Arial" w:hAnsi="Arial" w:cs="Arial"/>
          <w:i/>
          <w:iCs/>
          <w:sz w:val="14"/>
          <w:szCs w:val="14"/>
        </w:rPr>
        <w:t>Michaelowa</w:t>
      </w:r>
      <w:proofErr w:type="spellEnd"/>
      <w:r w:rsidRPr="00F607F2">
        <w:rPr>
          <w:rFonts w:ascii="Arial" w:eastAsia="Arial" w:hAnsi="Arial" w:cs="Arial"/>
          <w:i/>
          <w:iCs/>
          <w:sz w:val="14"/>
          <w:szCs w:val="14"/>
        </w:rPr>
        <w:t>, </w:t>
      </w:r>
      <w:hyperlink r:id="rId29" w:anchor="dpr12777-bib-0017" w:history="1">
        <w:r w:rsidRPr="00F607F2">
          <w:rPr>
            <w:rStyle w:val="Hyperlink"/>
            <w:rFonts w:ascii="Arial" w:eastAsia="Arial" w:hAnsi="Arial" w:cs="Arial"/>
            <w:b/>
            <w:bCs/>
            <w:i/>
            <w:iCs/>
            <w:color w:val="auto"/>
            <w:sz w:val="14"/>
            <w:szCs w:val="14"/>
          </w:rPr>
          <w:t>2019</w:t>
        </w:r>
      </w:hyperlink>
      <w:r w:rsidRPr="00F607F2">
        <w:rPr>
          <w:rFonts w:ascii="Arial" w:eastAsia="Arial" w:hAnsi="Arial" w:cs="Arial"/>
          <w:i/>
          <w:iCs/>
          <w:sz w:val="14"/>
          <w:szCs w:val="14"/>
        </w:rPr>
        <w:t>; Zeitz, </w:t>
      </w:r>
      <w:hyperlink r:id="rId30" w:anchor="dpr12777-bib-0056" w:history="1">
        <w:r w:rsidRPr="00F607F2">
          <w:rPr>
            <w:rStyle w:val="Hyperlink"/>
            <w:rFonts w:ascii="Arial" w:eastAsia="Arial" w:hAnsi="Arial" w:cs="Arial"/>
            <w:b/>
            <w:bCs/>
            <w:i/>
            <w:iCs/>
            <w:color w:val="auto"/>
            <w:sz w:val="14"/>
            <w:szCs w:val="14"/>
          </w:rPr>
          <w:t>2020</w:t>
        </w:r>
      </w:hyperlink>
      <w:r w:rsidRPr="00F607F2">
        <w:rPr>
          <w:rFonts w:ascii="Arial" w:eastAsia="Arial" w:hAnsi="Arial" w:cs="Arial"/>
          <w:i/>
          <w:iCs/>
          <w:sz w:val="14"/>
          <w:szCs w:val="14"/>
        </w:rPr>
        <w:t>).</w:t>
      </w:r>
    </w:p>
    <w:p w14:paraId="4DB23831"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Health sciences research outperforms other sectors in tracking China's health-related development assistance (Zapp &amp; Dahmen,  </w:t>
      </w:r>
      <w:hyperlink r:id="rId31" w:anchor="dpr12777-bib-0055" w:history="1">
        <w:r w:rsidRPr="00F607F2">
          <w:rPr>
            <w:rStyle w:val="Hyperlink"/>
            <w:rFonts w:ascii="Arial" w:eastAsia="Arial" w:hAnsi="Arial" w:cs="Arial"/>
            <w:b/>
            <w:bCs/>
            <w:i/>
            <w:iCs/>
            <w:color w:val="auto"/>
            <w:sz w:val="14"/>
            <w:szCs w:val="14"/>
          </w:rPr>
          <w:t>2017</w:t>
        </w:r>
      </w:hyperlink>
      <w:r w:rsidRPr="00F607F2">
        <w:rPr>
          <w:rFonts w:ascii="Arial" w:eastAsia="Arial" w:hAnsi="Arial" w:cs="Arial"/>
          <w:i/>
          <w:iCs/>
          <w:sz w:val="14"/>
          <w:szCs w:val="14"/>
        </w:rPr>
        <w:t>). International peer-reviewed journals, such as The Lancet and BMJ Global Health, published studies on China's development assistance for health (DAH) data based on systematic estimates by researchers (McDade &amp; Mao, </w:t>
      </w:r>
      <w:hyperlink r:id="rId32" w:anchor="dpr12777-bib-0032" w:history="1">
        <w:r w:rsidRPr="00F607F2">
          <w:rPr>
            <w:rStyle w:val="Hyperlink"/>
            <w:rFonts w:ascii="Arial" w:eastAsia="Arial" w:hAnsi="Arial" w:cs="Arial"/>
            <w:b/>
            <w:bCs/>
            <w:i/>
            <w:iCs/>
            <w:color w:val="auto"/>
            <w:sz w:val="14"/>
            <w:szCs w:val="14"/>
          </w:rPr>
          <w:t>2020</w:t>
        </w:r>
      </w:hyperlink>
      <w:r w:rsidRPr="00F607F2">
        <w:rPr>
          <w:rFonts w:ascii="Arial" w:eastAsia="Arial" w:hAnsi="Arial" w:cs="Arial"/>
          <w:i/>
          <w:iCs/>
          <w:sz w:val="14"/>
          <w:szCs w:val="14"/>
        </w:rPr>
        <w:t>; Micah et al., </w:t>
      </w:r>
      <w:hyperlink r:id="rId33" w:anchor="dpr12777-bib-0033" w:history="1">
        <w:r w:rsidRPr="00F607F2">
          <w:rPr>
            <w:rStyle w:val="Hyperlink"/>
            <w:rFonts w:ascii="Arial" w:eastAsia="Arial" w:hAnsi="Arial" w:cs="Arial"/>
            <w:b/>
            <w:bCs/>
            <w:i/>
            <w:iCs/>
            <w:color w:val="auto"/>
            <w:sz w:val="14"/>
            <w:szCs w:val="14"/>
          </w:rPr>
          <w:t>2019</w:t>
        </w:r>
      </w:hyperlink>
      <w:r w:rsidRPr="00F607F2">
        <w:rPr>
          <w:rFonts w:ascii="Arial" w:eastAsia="Arial" w:hAnsi="Arial" w:cs="Arial"/>
          <w:i/>
          <w:iCs/>
          <w:sz w:val="14"/>
          <w:szCs w:val="14"/>
        </w:rPr>
        <w:t>; Tang et al., </w:t>
      </w:r>
      <w:hyperlink r:id="rId34" w:anchor="dpr12777-bib-0042" w:history="1">
        <w:r w:rsidRPr="00F607F2">
          <w:rPr>
            <w:rStyle w:val="Hyperlink"/>
            <w:rFonts w:ascii="Arial" w:eastAsia="Arial" w:hAnsi="Arial" w:cs="Arial"/>
            <w:b/>
            <w:bCs/>
            <w:i/>
            <w:iCs/>
            <w:color w:val="auto"/>
            <w:sz w:val="14"/>
            <w:szCs w:val="14"/>
          </w:rPr>
          <w:t>2017</w:t>
        </w:r>
      </w:hyperlink>
      <w:r w:rsidRPr="00F607F2">
        <w:rPr>
          <w:rFonts w:ascii="Arial" w:eastAsia="Arial" w:hAnsi="Arial" w:cs="Arial"/>
          <w:i/>
          <w:iCs/>
          <w:sz w:val="14"/>
          <w:szCs w:val="14"/>
        </w:rPr>
        <w:t>). Building on the knowledge gained from these works, McDade et al. (</w:t>
      </w:r>
      <w:hyperlink r:id="rId35" w:anchor="dpr12777-bib-0031" w:history="1">
        <w:r w:rsidRPr="00F607F2">
          <w:rPr>
            <w:rStyle w:val="Hyperlink"/>
            <w:rFonts w:ascii="Arial" w:eastAsia="Arial" w:hAnsi="Arial" w:cs="Arial"/>
            <w:b/>
            <w:bCs/>
            <w:i/>
            <w:iCs/>
            <w:color w:val="auto"/>
            <w:sz w:val="14"/>
            <w:szCs w:val="14"/>
          </w:rPr>
          <w:t>2022</w:t>
        </w:r>
      </w:hyperlink>
      <w:r w:rsidRPr="00F607F2">
        <w:rPr>
          <w:rFonts w:ascii="Arial" w:eastAsia="Arial" w:hAnsi="Arial" w:cs="Arial"/>
          <w:i/>
          <w:iCs/>
          <w:sz w:val="14"/>
          <w:szCs w:val="14"/>
        </w:rPr>
        <w:t xml:space="preserve">) estimate the amount of China's DAH at project-level granularity by complementing missing values in the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2.0 dataset (hereinafter referred to as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2.0).</w:t>
      </w:r>
    </w:p>
    <w:p w14:paraId="49229A46"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However, many studies on China's IEC have been descriptive in nature, often introducing relevant administrative systems and case studies. A series of studies on international educational development concludes that emerging donors, such as China, have made significant contributions to the IEC, making them more competitive with traditional donors (Riddell &amp; Niño-</w:t>
      </w:r>
      <w:proofErr w:type="spellStart"/>
      <w:r w:rsidRPr="00F607F2">
        <w:rPr>
          <w:rFonts w:ascii="Arial" w:eastAsia="Arial" w:hAnsi="Arial" w:cs="Arial"/>
          <w:i/>
          <w:iCs/>
          <w:sz w:val="14"/>
          <w:szCs w:val="14"/>
        </w:rPr>
        <w:t>Zarazúa</w:t>
      </w:r>
      <w:proofErr w:type="spellEnd"/>
      <w:r w:rsidRPr="00F607F2">
        <w:rPr>
          <w:rFonts w:ascii="Arial" w:eastAsia="Arial" w:hAnsi="Arial" w:cs="Arial"/>
          <w:i/>
          <w:iCs/>
          <w:sz w:val="14"/>
          <w:szCs w:val="14"/>
        </w:rPr>
        <w:t>, </w:t>
      </w:r>
      <w:hyperlink r:id="rId36" w:anchor="dpr12777-bib-0041" w:history="1">
        <w:r w:rsidRPr="00F607F2">
          <w:rPr>
            <w:rStyle w:val="Hyperlink"/>
            <w:rFonts w:ascii="Arial" w:eastAsia="Arial" w:hAnsi="Arial" w:cs="Arial"/>
            <w:b/>
            <w:bCs/>
            <w:i/>
            <w:iCs/>
            <w:color w:val="auto"/>
            <w:sz w:val="14"/>
            <w:szCs w:val="14"/>
          </w:rPr>
          <w:t>2016</w:t>
        </w:r>
      </w:hyperlink>
      <w:r w:rsidRPr="00F607F2">
        <w:rPr>
          <w:rFonts w:ascii="Arial" w:eastAsia="Arial" w:hAnsi="Arial" w:cs="Arial"/>
          <w:i/>
          <w:iCs/>
          <w:sz w:val="14"/>
          <w:szCs w:val="14"/>
        </w:rPr>
        <w:t>). Most previous studies on China's education ODA have focused on Africa (King, </w:t>
      </w:r>
      <w:hyperlink r:id="rId37" w:anchor="dpr12777-bib-0021" w:history="1">
        <w:r w:rsidRPr="00F607F2">
          <w:rPr>
            <w:rStyle w:val="Hyperlink"/>
            <w:rFonts w:ascii="Arial" w:eastAsia="Arial" w:hAnsi="Arial" w:cs="Arial"/>
            <w:b/>
            <w:bCs/>
            <w:i/>
            <w:iCs/>
            <w:color w:val="auto"/>
            <w:sz w:val="14"/>
            <w:szCs w:val="14"/>
          </w:rPr>
          <w:t>2010</w:t>
        </w:r>
      </w:hyperlink>
      <w:r w:rsidRPr="00F607F2">
        <w:rPr>
          <w:rFonts w:ascii="Arial" w:eastAsia="Arial" w:hAnsi="Arial" w:cs="Arial"/>
          <w:i/>
          <w:iCs/>
          <w:sz w:val="14"/>
          <w:szCs w:val="14"/>
        </w:rPr>
        <w:t>; Nordtveit, </w:t>
      </w:r>
      <w:hyperlink r:id="rId38" w:anchor="dpr12777-bib-0037" w:history="1">
        <w:r w:rsidRPr="00F607F2">
          <w:rPr>
            <w:rStyle w:val="Hyperlink"/>
            <w:rFonts w:ascii="Arial" w:eastAsia="Arial" w:hAnsi="Arial" w:cs="Arial"/>
            <w:b/>
            <w:bCs/>
            <w:i/>
            <w:iCs/>
            <w:color w:val="auto"/>
            <w:sz w:val="14"/>
            <w:szCs w:val="14"/>
          </w:rPr>
          <w:t>2011</w:t>
        </w:r>
      </w:hyperlink>
      <w:r w:rsidRPr="00F607F2">
        <w:rPr>
          <w:rFonts w:ascii="Arial" w:eastAsia="Arial" w:hAnsi="Arial" w:cs="Arial"/>
          <w:i/>
          <w:iCs/>
          <w:sz w:val="14"/>
          <w:szCs w:val="14"/>
        </w:rPr>
        <w:t>; Niu &amp; Liu, </w:t>
      </w:r>
      <w:hyperlink r:id="rId39" w:anchor="dpr12777-bib-0036" w:history="1">
        <w:r w:rsidRPr="00F607F2">
          <w:rPr>
            <w:rStyle w:val="Hyperlink"/>
            <w:rFonts w:ascii="Arial" w:eastAsia="Arial" w:hAnsi="Arial" w:cs="Arial"/>
            <w:b/>
            <w:bCs/>
            <w:i/>
            <w:iCs/>
            <w:color w:val="auto"/>
            <w:sz w:val="14"/>
            <w:szCs w:val="14"/>
          </w:rPr>
          <w:t>2016</w:t>
        </w:r>
      </w:hyperlink>
      <w:r w:rsidRPr="00F607F2">
        <w:rPr>
          <w:rFonts w:ascii="Arial" w:eastAsia="Arial" w:hAnsi="Arial" w:cs="Arial"/>
          <w:i/>
          <w:iCs/>
          <w:sz w:val="14"/>
          <w:szCs w:val="14"/>
        </w:rPr>
        <w:t>; Kitano, </w:t>
      </w:r>
      <w:hyperlink r:id="rId40" w:anchor="dpr12777-bib-0024" w:history="1">
        <w:r w:rsidRPr="00F607F2">
          <w:rPr>
            <w:rStyle w:val="Hyperlink"/>
            <w:rFonts w:ascii="Arial" w:eastAsia="Arial" w:hAnsi="Arial" w:cs="Arial"/>
            <w:b/>
            <w:bCs/>
            <w:i/>
            <w:iCs/>
            <w:color w:val="auto"/>
            <w:sz w:val="14"/>
            <w:szCs w:val="14"/>
          </w:rPr>
          <w:t>2019</w:t>
        </w:r>
      </w:hyperlink>
      <w:r w:rsidRPr="00F607F2">
        <w:rPr>
          <w:rFonts w:ascii="Arial" w:eastAsia="Arial" w:hAnsi="Arial" w:cs="Arial"/>
          <w:i/>
          <w:iCs/>
          <w:sz w:val="14"/>
          <w:szCs w:val="14"/>
        </w:rPr>
        <w:t>). Reilly's work (2015), commissioned by the United Nations Educational, Scientific, and Cultural Organization (UNESCO), provides a thorough analysis of China's education ODA system. Using official Chinese sources, media reports, academic articles, and interviews, the report examines China's IEC through various institutions, including the Export–Import Bank of China (CEXIM), the China Development Bank (CDB), and the Ministry of Commerce (MOFCOM). The report also included an estimate of the cost of training, scholarship, and volunteer programmes based on relevant unit price data provided by the finance sector for comparison with other donors (Reilly, </w:t>
      </w:r>
      <w:hyperlink r:id="rId41" w:anchor="dpr12777-bib-0040" w:history="1">
        <w:r w:rsidRPr="00F607F2">
          <w:rPr>
            <w:rStyle w:val="Hyperlink"/>
            <w:rFonts w:ascii="Arial" w:eastAsia="Arial" w:hAnsi="Arial" w:cs="Arial"/>
            <w:b/>
            <w:bCs/>
            <w:i/>
            <w:iCs/>
            <w:color w:val="auto"/>
            <w:sz w:val="14"/>
            <w:szCs w:val="14"/>
          </w:rPr>
          <w:t>2015</w:t>
        </w:r>
      </w:hyperlink>
      <w:r w:rsidRPr="00F607F2">
        <w:rPr>
          <w:rFonts w:ascii="Arial" w:eastAsia="Arial" w:hAnsi="Arial" w:cs="Arial"/>
          <w:i/>
          <w:iCs/>
          <w:sz w:val="14"/>
          <w:szCs w:val="14"/>
        </w:rPr>
        <w:t>).</w:t>
      </w:r>
    </w:p>
    <w:p w14:paraId="4F854D8A"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Research into China's IEC has described its characteristics. According to a series of research articles, China has placed greater emphasis on the higher education subsector in its IEC, whereas OECD Development Assistance Committee (DAC) donors have focused their ODA on primary education, reflecting the international commitment led by Education for All (EFA) and the Millennium Development Goals (MDGs) (</w:t>
      </w:r>
      <w:proofErr w:type="spellStart"/>
      <w:r w:rsidRPr="00F607F2">
        <w:rPr>
          <w:rFonts w:ascii="Arial" w:eastAsia="Arial" w:hAnsi="Arial" w:cs="Arial"/>
          <w:i/>
          <w:iCs/>
          <w:sz w:val="14"/>
          <w:szCs w:val="14"/>
        </w:rPr>
        <w:t>Bräutigam</w:t>
      </w:r>
      <w:proofErr w:type="spellEnd"/>
      <w:r w:rsidRPr="00F607F2">
        <w:rPr>
          <w:rFonts w:ascii="Arial" w:eastAsia="Arial" w:hAnsi="Arial" w:cs="Arial"/>
          <w:i/>
          <w:iCs/>
          <w:sz w:val="14"/>
          <w:szCs w:val="14"/>
        </w:rPr>
        <w:t>, </w:t>
      </w:r>
      <w:hyperlink r:id="rId42" w:anchor="dpr12777-bib-0002" w:history="1">
        <w:r w:rsidRPr="00F607F2">
          <w:rPr>
            <w:rStyle w:val="Hyperlink"/>
            <w:rFonts w:ascii="Arial" w:eastAsia="Arial" w:hAnsi="Arial" w:cs="Arial"/>
            <w:b/>
            <w:bCs/>
            <w:i/>
            <w:iCs/>
            <w:color w:val="auto"/>
            <w:sz w:val="14"/>
            <w:szCs w:val="14"/>
          </w:rPr>
          <w:t>2011</w:t>
        </w:r>
      </w:hyperlink>
      <w:r w:rsidRPr="00F607F2">
        <w:rPr>
          <w:rFonts w:ascii="Arial" w:eastAsia="Arial" w:hAnsi="Arial" w:cs="Arial"/>
          <w:i/>
          <w:iCs/>
          <w:sz w:val="14"/>
          <w:szCs w:val="14"/>
        </w:rPr>
        <w:t>; King, </w:t>
      </w:r>
      <w:hyperlink r:id="rId43" w:anchor="dpr12777-bib-0021" w:history="1">
        <w:r w:rsidRPr="00F607F2">
          <w:rPr>
            <w:rStyle w:val="Hyperlink"/>
            <w:rFonts w:ascii="Arial" w:eastAsia="Arial" w:hAnsi="Arial" w:cs="Arial"/>
            <w:b/>
            <w:bCs/>
            <w:i/>
            <w:iCs/>
            <w:color w:val="auto"/>
            <w:sz w:val="14"/>
            <w:szCs w:val="14"/>
          </w:rPr>
          <w:t>2010</w:t>
        </w:r>
      </w:hyperlink>
      <w:r w:rsidRPr="00F607F2">
        <w:rPr>
          <w:rFonts w:ascii="Arial" w:eastAsia="Arial" w:hAnsi="Arial" w:cs="Arial"/>
          <w:i/>
          <w:iCs/>
          <w:sz w:val="14"/>
          <w:szCs w:val="14"/>
        </w:rPr>
        <w:t>; King, </w:t>
      </w:r>
      <w:hyperlink r:id="rId44" w:anchor="dpr12777-bib-0022" w:history="1">
        <w:r w:rsidRPr="00F607F2">
          <w:rPr>
            <w:rStyle w:val="Hyperlink"/>
            <w:rFonts w:ascii="Arial" w:eastAsia="Arial" w:hAnsi="Arial" w:cs="Arial"/>
            <w:b/>
            <w:bCs/>
            <w:i/>
            <w:iCs/>
            <w:color w:val="auto"/>
            <w:sz w:val="14"/>
            <w:szCs w:val="14"/>
          </w:rPr>
          <w:t>2014</w:t>
        </w:r>
      </w:hyperlink>
      <w:r w:rsidRPr="00F607F2">
        <w:rPr>
          <w:rFonts w:ascii="Arial" w:eastAsia="Arial" w:hAnsi="Arial" w:cs="Arial"/>
          <w:i/>
          <w:iCs/>
          <w:sz w:val="14"/>
          <w:szCs w:val="14"/>
        </w:rPr>
        <w:t>; Wu, </w:t>
      </w:r>
      <w:hyperlink r:id="rId45" w:anchor="dpr12777-bib-0048" w:history="1">
        <w:r w:rsidRPr="00F607F2">
          <w:rPr>
            <w:rStyle w:val="Hyperlink"/>
            <w:rFonts w:ascii="Arial" w:eastAsia="Arial" w:hAnsi="Arial" w:cs="Arial"/>
            <w:b/>
            <w:bCs/>
            <w:i/>
            <w:iCs/>
            <w:color w:val="auto"/>
            <w:sz w:val="14"/>
            <w:szCs w:val="14"/>
          </w:rPr>
          <w:t>2019</w:t>
        </w:r>
      </w:hyperlink>
      <w:r w:rsidRPr="00F607F2">
        <w:rPr>
          <w:rFonts w:ascii="Arial" w:eastAsia="Arial" w:hAnsi="Arial" w:cs="Arial"/>
          <w:i/>
          <w:iCs/>
          <w:sz w:val="14"/>
          <w:szCs w:val="14"/>
        </w:rPr>
        <w:t>, </w:t>
      </w:r>
      <w:hyperlink r:id="rId46" w:anchor="dpr12777-bib-0049" w:history="1">
        <w:r w:rsidRPr="00F607F2">
          <w:rPr>
            <w:rStyle w:val="Hyperlink"/>
            <w:rFonts w:ascii="Arial" w:eastAsia="Arial" w:hAnsi="Arial" w:cs="Arial"/>
            <w:b/>
            <w:bCs/>
            <w:i/>
            <w:iCs/>
            <w:color w:val="auto"/>
            <w:sz w:val="14"/>
            <w:szCs w:val="14"/>
          </w:rPr>
          <w:t>2021</w:t>
        </w:r>
      </w:hyperlink>
      <w:r w:rsidRPr="00F607F2">
        <w:rPr>
          <w:rFonts w:ascii="Arial" w:eastAsia="Arial" w:hAnsi="Arial" w:cs="Arial"/>
          <w:i/>
          <w:iCs/>
          <w:sz w:val="14"/>
          <w:szCs w:val="14"/>
        </w:rPr>
        <w:t>). Most research on Chinese education ODA focuses on qualitative analyses of China's IEC (Niu, </w:t>
      </w:r>
      <w:hyperlink r:id="rId47" w:anchor="dpr12777-bib-0035" w:history="1">
        <w:r w:rsidRPr="00F607F2">
          <w:rPr>
            <w:rStyle w:val="Hyperlink"/>
            <w:rFonts w:ascii="Arial" w:eastAsia="Arial" w:hAnsi="Arial" w:cs="Arial"/>
            <w:b/>
            <w:bCs/>
            <w:i/>
            <w:iCs/>
            <w:color w:val="auto"/>
            <w:sz w:val="14"/>
            <w:szCs w:val="14"/>
          </w:rPr>
          <w:t>2014</w:t>
        </w:r>
      </w:hyperlink>
      <w:r w:rsidRPr="00F607F2">
        <w:rPr>
          <w:rFonts w:ascii="Arial" w:eastAsia="Arial" w:hAnsi="Arial" w:cs="Arial"/>
          <w:i/>
          <w:iCs/>
          <w:sz w:val="14"/>
          <w:szCs w:val="14"/>
        </w:rPr>
        <w:t>; Teng et al., </w:t>
      </w:r>
      <w:hyperlink r:id="rId48" w:anchor="dpr12777-bib-0043" w:history="1">
        <w:r w:rsidRPr="00F607F2">
          <w:rPr>
            <w:rStyle w:val="Hyperlink"/>
            <w:rFonts w:ascii="Arial" w:eastAsia="Arial" w:hAnsi="Arial" w:cs="Arial"/>
            <w:b/>
            <w:bCs/>
            <w:i/>
            <w:iCs/>
            <w:color w:val="auto"/>
            <w:sz w:val="14"/>
            <w:szCs w:val="14"/>
          </w:rPr>
          <w:t>2016</w:t>
        </w:r>
      </w:hyperlink>
      <w:r w:rsidRPr="00F607F2">
        <w:rPr>
          <w:rFonts w:ascii="Arial" w:eastAsia="Arial" w:hAnsi="Arial" w:cs="Arial"/>
          <w:i/>
          <w:iCs/>
          <w:sz w:val="14"/>
          <w:szCs w:val="14"/>
        </w:rPr>
        <w:t>). However, there has been no quantitative understanding of how subsectors and regions are allocated in China's actual IEC. Ha et al. (</w:t>
      </w:r>
      <w:hyperlink r:id="rId49" w:anchor="dpr12777-bib-0015" w:history="1">
        <w:r w:rsidRPr="00F607F2">
          <w:rPr>
            <w:rStyle w:val="Hyperlink"/>
            <w:rFonts w:ascii="Arial" w:eastAsia="Arial" w:hAnsi="Arial" w:cs="Arial"/>
            <w:b/>
            <w:bCs/>
            <w:i/>
            <w:iCs/>
            <w:color w:val="auto"/>
            <w:sz w:val="14"/>
            <w:szCs w:val="14"/>
          </w:rPr>
          <w:t>2020</w:t>
        </w:r>
      </w:hyperlink>
      <w:r w:rsidRPr="00F607F2">
        <w:rPr>
          <w:rFonts w:ascii="Arial" w:eastAsia="Arial" w:hAnsi="Arial" w:cs="Arial"/>
          <w:i/>
          <w:iCs/>
          <w:sz w:val="14"/>
          <w:szCs w:val="14"/>
        </w:rPr>
        <w:t>) and Doi (</w:t>
      </w:r>
      <w:hyperlink r:id="rId50" w:anchor="dpr12777-bib-0007" w:history="1">
        <w:r w:rsidRPr="00F607F2">
          <w:rPr>
            <w:rStyle w:val="Hyperlink"/>
            <w:rFonts w:ascii="Arial" w:eastAsia="Arial" w:hAnsi="Arial" w:cs="Arial"/>
            <w:b/>
            <w:bCs/>
            <w:i/>
            <w:iCs/>
            <w:color w:val="auto"/>
            <w:sz w:val="14"/>
            <w:szCs w:val="14"/>
          </w:rPr>
          <w:t>2022</w:t>
        </w:r>
      </w:hyperlink>
      <w:r w:rsidRPr="00F607F2">
        <w:rPr>
          <w:rFonts w:ascii="Arial" w:eastAsia="Arial" w:hAnsi="Arial" w:cs="Arial"/>
          <w:i/>
          <w:iCs/>
          <w:sz w:val="14"/>
          <w:szCs w:val="14"/>
        </w:rPr>
        <w:t>) present quantitative empirical studies that use statistical data from the Chinese government to examine government scholarships for international students in China. However, their work is based solely on data on the number of international students who received Chinese government scholarships and does not include monetary data from China's comprehensive IEC, such as loans and grants for school construction and educational equipment provided by various Chinese actors such as CEXIM and MOFCOM.</w:t>
      </w:r>
    </w:p>
    <w:p w14:paraId="47FC865E"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To fill the research gap, we seek to construct complete development finance data for China's IEC using the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dataset, but we still require additional processing, as McDade et al. (</w:t>
      </w:r>
      <w:hyperlink r:id="rId51" w:anchor="dpr12777-bib-0031" w:history="1">
        <w:r w:rsidRPr="00F607F2">
          <w:rPr>
            <w:rStyle w:val="Hyperlink"/>
            <w:rFonts w:ascii="Arial" w:eastAsia="Arial" w:hAnsi="Arial" w:cs="Arial"/>
            <w:b/>
            <w:bCs/>
            <w:i/>
            <w:iCs/>
            <w:color w:val="auto"/>
            <w:sz w:val="14"/>
            <w:szCs w:val="14"/>
          </w:rPr>
          <w:t>2022</w:t>
        </w:r>
      </w:hyperlink>
      <w:r w:rsidRPr="00F607F2">
        <w:rPr>
          <w:rFonts w:ascii="Arial" w:eastAsia="Arial" w:hAnsi="Arial" w:cs="Arial"/>
          <w:i/>
          <w:iCs/>
          <w:sz w:val="14"/>
          <w:szCs w:val="14"/>
        </w:rPr>
        <w:t xml:space="preserve">) did to overcome its limitations. The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dataset contains many missing values for project monetary values. Although the dataset has been widely used for empirical quantitative research on China's overseas development finance, researchers must choose between reducing the number of samples with missing monetary values and capturing the financial significance of Chinese projects. For example, Kilama (</w:t>
      </w:r>
      <w:hyperlink r:id="rId52" w:anchor="dpr12777-bib-0019" w:history="1">
        <w:r w:rsidRPr="00F607F2">
          <w:rPr>
            <w:rStyle w:val="Hyperlink"/>
            <w:rFonts w:ascii="Arial" w:eastAsia="Arial" w:hAnsi="Arial" w:cs="Arial"/>
            <w:b/>
            <w:bCs/>
            <w:i/>
            <w:iCs/>
            <w:color w:val="auto"/>
            <w:sz w:val="14"/>
            <w:szCs w:val="14"/>
          </w:rPr>
          <w:t>2016a</w:t>
        </w:r>
      </w:hyperlink>
      <w:r w:rsidRPr="00F607F2">
        <w:rPr>
          <w:rFonts w:ascii="Arial" w:eastAsia="Arial" w:hAnsi="Arial" w:cs="Arial"/>
          <w:i/>
          <w:iCs/>
          <w:sz w:val="14"/>
          <w:szCs w:val="14"/>
        </w:rPr>
        <w:t>) uses both China's overseas project monetary amounts and its project presence as the independent variable in his empirical models, but the model with the former pays insufficient heed to hundreds of observations that lack the values of project financial amounts, and the model with the latter fails to capture the differences in the size of the projects by treating them as the same regardless of whether they are minute projects of less than USD 1,000 or worth hundreds of millions of dollars (Kilama, </w:t>
      </w:r>
      <w:hyperlink r:id="rId53" w:anchor="dpr12777-bib-0019" w:history="1">
        <w:r w:rsidRPr="00F607F2">
          <w:rPr>
            <w:rStyle w:val="Hyperlink"/>
            <w:rFonts w:ascii="Arial" w:eastAsia="Arial" w:hAnsi="Arial" w:cs="Arial"/>
            <w:b/>
            <w:bCs/>
            <w:i/>
            <w:iCs/>
            <w:color w:val="auto"/>
            <w:sz w:val="14"/>
            <w:szCs w:val="14"/>
          </w:rPr>
          <w:t>2016a</w:t>
        </w:r>
      </w:hyperlink>
      <w:r w:rsidRPr="00F607F2">
        <w:rPr>
          <w:rFonts w:ascii="Arial" w:eastAsia="Arial" w:hAnsi="Arial" w:cs="Arial"/>
          <w:i/>
          <w:iCs/>
          <w:sz w:val="14"/>
          <w:szCs w:val="14"/>
        </w:rPr>
        <w:t>, </w:t>
      </w:r>
      <w:hyperlink r:id="rId54" w:anchor="dpr12777-bib-0020" w:history="1">
        <w:r w:rsidRPr="00F607F2">
          <w:rPr>
            <w:rStyle w:val="Hyperlink"/>
            <w:rFonts w:ascii="Arial" w:eastAsia="Arial" w:hAnsi="Arial" w:cs="Arial"/>
            <w:b/>
            <w:bCs/>
            <w:i/>
            <w:iCs/>
            <w:color w:val="auto"/>
            <w:sz w:val="14"/>
            <w:szCs w:val="14"/>
          </w:rPr>
          <w:t>2016b</w:t>
        </w:r>
      </w:hyperlink>
      <w:r w:rsidRPr="00F607F2">
        <w:rPr>
          <w:rFonts w:ascii="Arial" w:eastAsia="Arial" w:hAnsi="Arial" w:cs="Arial"/>
          <w:i/>
          <w:iCs/>
          <w:sz w:val="14"/>
          <w:szCs w:val="14"/>
        </w:rPr>
        <w:t xml:space="preserve">). As explained in the following sections, China's IEC in the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dataset contains more small projects with missing project amounts than other sectors, such as infrastructure.</w:t>
      </w:r>
    </w:p>
    <w:p w14:paraId="3DBB98D1"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This study seeks to quantify China's commitment to the education sector from 2000 to 2017 by estimating the amount of external development finance invested in the sector.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2.0 has collected relatively good information on large-scale infrastructure projects. This study uses methods for estimating China's DAH, such as McDade et al. (</w:t>
      </w:r>
      <w:hyperlink r:id="rId55" w:anchor="dpr12777-bib-0031" w:history="1">
        <w:r w:rsidRPr="00F607F2">
          <w:rPr>
            <w:rStyle w:val="Hyperlink"/>
            <w:rFonts w:ascii="Arial" w:eastAsia="Arial" w:hAnsi="Arial" w:cs="Arial"/>
            <w:b/>
            <w:bCs/>
            <w:i/>
            <w:iCs/>
            <w:color w:val="auto"/>
            <w:sz w:val="14"/>
            <w:szCs w:val="14"/>
          </w:rPr>
          <w:t>2022</w:t>
        </w:r>
      </w:hyperlink>
      <w:r w:rsidRPr="00F607F2">
        <w:rPr>
          <w:rFonts w:ascii="Arial" w:eastAsia="Arial" w:hAnsi="Arial" w:cs="Arial"/>
          <w:i/>
          <w:iCs/>
          <w:sz w:val="14"/>
          <w:szCs w:val="14"/>
        </w:rPr>
        <w:t xml:space="preserve">), to perform imputations of missing values for education-sector projects in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2.0. Any educational project, particularly small-scale projects, is difficult to capture, and there are numerous missing values in project amounts and observations. We created a complete data set on the amount of China's IEC by calculating these missing values in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2.0. This study is significant because it fills a gap in comprehensive monetary data in China's investment in the international education sector by creating the first dataset with no missing monetary data from China's IEC by combining the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dataset and the classification based on the OECD standard measure. Our new data allow us to understand the quantitative significance of China's IEC in the Global South and compare its educational aid with that of other donors. The remainder of the article is arranged as follows. In Section </w:t>
      </w:r>
      <w:hyperlink r:id="rId56" w:anchor="dpr12777-sec-0007" w:history="1">
        <w:r w:rsidRPr="00F607F2">
          <w:rPr>
            <w:rStyle w:val="Hyperlink"/>
            <w:rFonts w:ascii="Arial" w:eastAsia="Arial" w:hAnsi="Arial" w:cs="Arial"/>
            <w:b/>
            <w:bCs/>
            <w:i/>
            <w:iCs/>
            <w:color w:val="auto"/>
            <w:sz w:val="14"/>
            <w:szCs w:val="14"/>
          </w:rPr>
          <w:t>2</w:t>
        </w:r>
      </w:hyperlink>
      <w:r w:rsidRPr="00F607F2">
        <w:rPr>
          <w:rFonts w:ascii="Arial" w:eastAsia="Arial" w:hAnsi="Arial" w:cs="Arial"/>
          <w:i/>
          <w:iCs/>
          <w:sz w:val="14"/>
          <w:szCs w:val="14"/>
        </w:rPr>
        <w:t>, we discuss the implementation system and related policies of China's IEC from 2000 to 2017. In Section </w:t>
      </w:r>
      <w:hyperlink r:id="rId57" w:anchor="dpr12777-sec-0008" w:history="1">
        <w:r w:rsidRPr="00F607F2">
          <w:rPr>
            <w:rStyle w:val="Hyperlink"/>
            <w:rFonts w:ascii="Arial" w:eastAsia="Arial" w:hAnsi="Arial" w:cs="Arial"/>
            <w:b/>
            <w:bCs/>
            <w:i/>
            <w:iCs/>
            <w:color w:val="auto"/>
            <w:sz w:val="14"/>
            <w:szCs w:val="14"/>
          </w:rPr>
          <w:t>3</w:t>
        </w:r>
      </w:hyperlink>
      <w:r w:rsidRPr="00F607F2">
        <w:rPr>
          <w:rFonts w:ascii="Arial" w:eastAsia="Arial" w:hAnsi="Arial" w:cs="Arial"/>
          <w:i/>
          <w:iCs/>
          <w:sz w:val="14"/>
          <w:szCs w:val="14"/>
        </w:rPr>
        <w:t> we explain the estimation method. Then in Section </w:t>
      </w:r>
      <w:hyperlink r:id="rId58" w:anchor="dpr12777-sec-0016" w:history="1">
        <w:r w:rsidRPr="00F607F2">
          <w:rPr>
            <w:rStyle w:val="Hyperlink"/>
            <w:rFonts w:ascii="Arial" w:eastAsia="Arial" w:hAnsi="Arial" w:cs="Arial"/>
            <w:b/>
            <w:bCs/>
            <w:i/>
            <w:iCs/>
            <w:color w:val="auto"/>
            <w:sz w:val="14"/>
            <w:szCs w:val="14"/>
          </w:rPr>
          <w:t>4</w:t>
        </w:r>
      </w:hyperlink>
      <w:r w:rsidRPr="00F607F2">
        <w:rPr>
          <w:rFonts w:ascii="Arial" w:eastAsia="Arial" w:hAnsi="Arial" w:cs="Arial"/>
          <w:i/>
          <w:iCs/>
          <w:sz w:val="14"/>
          <w:szCs w:val="14"/>
        </w:rPr>
        <w:t> we present the estimation results based on a comprehensive analysis of China's IEC, which includes both ODA-like and other official flow (OOF)-like finances. We compare the amount of China's concessional ODA-like IEC to that of traditional donors to demonstrate China's quantitative international positioning in education ODA. Section </w:t>
      </w:r>
      <w:hyperlink r:id="rId59" w:anchor="dpr12777-sec-0021" w:history="1">
        <w:r w:rsidRPr="00F607F2">
          <w:rPr>
            <w:rStyle w:val="Hyperlink"/>
            <w:rFonts w:ascii="Arial" w:eastAsia="Arial" w:hAnsi="Arial" w:cs="Arial"/>
            <w:b/>
            <w:bCs/>
            <w:i/>
            <w:iCs/>
            <w:color w:val="auto"/>
            <w:sz w:val="14"/>
            <w:szCs w:val="14"/>
          </w:rPr>
          <w:t>5</w:t>
        </w:r>
      </w:hyperlink>
      <w:r w:rsidRPr="00F607F2">
        <w:rPr>
          <w:rFonts w:ascii="Arial" w:eastAsia="Arial" w:hAnsi="Arial" w:cs="Arial"/>
          <w:i/>
          <w:iCs/>
          <w:sz w:val="14"/>
          <w:szCs w:val="14"/>
        </w:rPr>
        <w:t> concludes.</w:t>
      </w:r>
    </w:p>
    <w:p w14:paraId="60E26D81" w14:textId="77777777" w:rsidR="00F607F2" w:rsidRPr="00F607F2" w:rsidRDefault="00F607F2" w:rsidP="00F607F2">
      <w:pPr>
        <w:rPr>
          <w:rFonts w:ascii="Arial" w:eastAsia="Arial" w:hAnsi="Arial" w:cs="Arial"/>
          <w:b/>
          <w:bCs/>
          <w:i/>
          <w:iCs/>
          <w:sz w:val="14"/>
          <w:szCs w:val="14"/>
        </w:rPr>
      </w:pPr>
      <w:r w:rsidRPr="00F607F2">
        <w:rPr>
          <w:rFonts w:ascii="Arial" w:eastAsia="Arial" w:hAnsi="Arial" w:cs="Arial"/>
          <w:b/>
          <w:bCs/>
          <w:i/>
          <w:iCs/>
          <w:sz w:val="14"/>
          <w:szCs w:val="14"/>
        </w:rPr>
        <w:t>2 CHINA'S INTERNATIONAL EDUCATION CO-OPERATION</w:t>
      </w:r>
    </w:p>
    <w:p w14:paraId="698FD70F"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China has not published any policy documents on international educational co-operation with developing countries. However, there are documents on foreign aid policy in general (The State Council Information Office of the PRC, 2011, 2014) as well as regional forums in which China participates that describe co-operation, such as FOCAC in the education sector.</w:t>
      </w:r>
      <w:hyperlink r:id="rId60" w:anchor="dpr12777-note-1001_note_0" w:tooltip="Link to note" w:history="1">
        <w:r w:rsidRPr="00F607F2">
          <w:rPr>
            <w:rStyle w:val="Hyperlink"/>
            <w:rFonts w:ascii="Arial" w:eastAsia="Arial" w:hAnsi="Arial" w:cs="Arial"/>
            <w:b/>
            <w:bCs/>
            <w:i/>
            <w:iCs/>
            <w:color w:val="auto"/>
            <w:sz w:val="14"/>
            <w:szCs w:val="14"/>
          </w:rPr>
          <w:t>1</w:t>
        </w:r>
      </w:hyperlink>
      <w:r w:rsidRPr="00F607F2">
        <w:rPr>
          <w:rFonts w:ascii="Arial" w:eastAsia="Arial" w:hAnsi="Arial" w:cs="Arial"/>
          <w:i/>
          <w:iCs/>
          <w:sz w:val="14"/>
          <w:szCs w:val="14"/>
        </w:rPr>
        <w:t> Furthermore, the policy direction can be inferred from the assistance-related items in China's foreign education co-operation documents (Ministry of Education of PRC, </w:t>
      </w:r>
      <w:hyperlink r:id="rId61" w:anchor="dpr12777-bib-0034" w:history="1">
        <w:r w:rsidRPr="00F607F2">
          <w:rPr>
            <w:rStyle w:val="Hyperlink"/>
            <w:rFonts w:ascii="Arial" w:eastAsia="Arial" w:hAnsi="Arial" w:cs="Arial"/>
            <w:b/>
            <w:bCs/>
            <w:i/>
            <w:iCs/>
            <w:color w:val="auto"/>
            <w:sz w:val="14"/>
            <w:szCs w:val="14"/>
          </w:rPr>
          <w:t>2016</w:t>
        </w:r>
      </w:hyperlink>
      <w:r w:rsidRPr="00F607F2">
        <w:rPr>
          <w:rFonts w:ascii="Arial" w:eastAsia="Arial" w:hAnsi="Arial" w:cs="Arial"/>
          <w:i/>
          <w:iCs/>
          <w:sz w:val="14"/>
          <w:szCs w:val="14"/>
        </w:rPr>
        <w:t>).</w:t>
      </w:r>
    </w:p>
    <w:p w14:paraId="4E3A5B8D"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China's overseas development finance involves various institutions, including the education sector. Among these, the presence of two Chinese policy banks, CEXIM and CDB, is notable because of the magnitude of their funding contributions. However, much of their external financing, such as export credits and low-interest loans, does not meet the OECD standards for ODA. China has its own standards for foreign aid that differ from the OECD definition of ODA. China's external assistance is also characterized by its </w:t>
      </w:r>
      <w:proofErr w:type="spellStart"/>
      <w:r w:rsidRPr="00F607F2">
        <w:rPr>
          <w:rFonts w:ascii="Arial" w:eastAsia="Arial" w:hAnsi="Arial" w:cs="Arial"/>
          <w:i/>
          <w:iCs/>
          <w:sz w:val="14"/>
          <w:szCs w:val="14"/>
        </w:rPr>
        <w:t>concessionality</w:t>
      </w:r>
      <w:proofErr w:type="spellEnd"/>
      <w:r w:rsidRPr="00F607F2">
        <w:rPr>
          <w:rFonts w:ascii="Arial" w:eastAsia="Arial" w:hAnsi="Arial" w:cs="Arial"/>
          <w:i/>
          <w:iCs/>
          <w:sz w:val="14"/>
          <w:szCs w:val="14"/>
        </w:rPr>
        <w:t xml:space="preserve">, which includes grants, zero-interest loans, and “concessional” loans. MOFCOM oversees China's foreign aid grants and zero-interest loans, which typically promote broad diplomatic goals. CEXIM's loan scheme also includes government concessional loans with high </w:t>
      </w:r>
      <w:proofErr w:type="spellStart"/>
      <w:r w:rsidRPr="00F607F2">
        <w:rPr>
          <w:rFonts w:ascii="Arial" w:eastAsia="Arial" w:hAnsi="Arial" w:cs="Arial"/>
          <w:i/>
          <w:iCs/>
          <w:sz w:val="14"/>
          <w:szCs w:val="14"/>
        </w:rPr>
        <w:t>concessionality</w:t>
      </w:r>
      <w:proofErr w:type="spellEnd"/>
      <w:r w:rsidRPr="00F607F2">
        <w:rPr>
          <w:rFonts w:ascii="Arial" w:eastAsia="Arial" w:hAnsi="Arial" w:cs="Arial"/>
          <w:i/>
          <w:iCs/>
          <w:sz w:val="14"/>
          <w:szCs w:val="14"/>
        </w:rPr>
        <w:t xml:space="preserve"> (</w:t>
      </w:r>
      <w:proofErr w:type="spellStart"/>
      <w:r w:rsidRPr="00F607F2">
        <w:rPr>
          <w:rFonts w:ascii="Arial" w:eastAsia="Arial" w:hAnsi="Arial" w:cs="Arial"/>
          <w:i/>
          <w:iCs/>
          <w:sz w:val="14"/>
          <w:szCs w:val="14"/>
        </w:rPr>
        <w:t>Bräutigam</w:t>
      </w:r>
      <w:proofErr w:type="spellEnd"/>
      <w:r w:rsidRPr="00F607F2">
        <w:rPr>
          <w:rFonts w:ascii="Arial" w:eastAsia="Arial" w:hAnsi="Arial" w:cs="Arial"/>
          <w:i/>
          <w:iCs/>
          <w:sz w:val="14"/>
          <w:szCs w:val="14"/>
        </w:rPr>
        <w:t>, </w:t>
      </w:r>
      <w:hyperlink r:id="rId62" w:anchor="dpr12777-bib-0002" w:history="1">
        <w:r w:rsidRPr="00F607F2">
          <w:rPr>
            <w:rStyle w:val="Hyperlink"/>
            <w:rFonts w:ascii="Arial" w:eastAsia="Arial" w:hAnsi="Arial" w:cs="Arial"/>
            <w:b/>
            <w:bCs/>
            <w:i/>
            <w:iCs/>
            <w:color w:val="auto"/>
            <w:sz w:val="14"/>
            <w:szCs w:val="14"/>
          </w:rPr>
          <w:t>2011</w:t>
        </w:r>
      </w:hyperlink>
      <w:r w:rsidRPr="00F607F2">
        <w:rPr>
          <w:rFonts w:ascii="Arial" w:eastAsia="Arial" w:hAnsi="Arial" w:cs="Arial"/>
          <w:i/>
          <w:iCs/>
          <w:sz w:val="14"/>
          <w:szCs w:val="14"/>
        </w:rPr>
        <w:t>). In addition, line ministries such as the Ministry of Education and state-owned enterprises fund IEC finance. In recent years, local governments with strong fiscal capabilities have also provided IEC (Doi, </w:t>
      </w:r>
      <w:hyperlink r:id="rId63" w:anchor="dpr12777-bib-0008" w:history="1">
        <w:r w:rsidRPr="00F607F2">
          <w:rPr>
            <w:rStyle w:val="Hyperlink"/>
            <w:rFonts w:ascii="Arial" w:eastAsia="Arial" w:hAnsi="Arial" w:cs="Arial"/>
            <w:b/>
            <w:bCs/>
            <w:i/>
            <w:iCs/>
            <w:color w:val="auto"/>
            <w:sz w:val="14"/>
            <w:szCs w:val="14"/>
          </w:rPr>
          <w:t>2023</w:t>
        </w:r>
      </w:hyperlink>
      <w:r w:rsidRPr="00F607F2">
        <w:rPr>
          <w:rFonts w:ascii="Arial" w:eastAsia="Arial" w:hAnsi="Arial" w:cs="Arial"/>
          <w:i/>
          <w:iCs/>
          <w:sz w:val="14"/>
          <w:szCs w:val="14"/>
        </w:rPr>
        <w:t>).</w:t>
      </w:r>
    </w:p>
    <w:p w14:paraId="2FD708CA"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Confucius Institutes (CIs) are a key feature of China's IEC. CIs are non-profit educational organizations that promote Chinese language teaching outside China, train language instructors, and foster cultural exchange and co-operation between China and other countries (Hartig, </w:t>
      </w:r>
      <w:hyperlink r:id="rId64" w:anchor="dpr12777-bib-0016" w:history="1">
        <w:r w:rsidRPr="00F607F2">
          <w:rPr>
            <w:rStyle w:val="Hyperlink"/>
            <w:rFonts w:ascii="Arial" w:eastAsia="Arial" w:hAnsi="Arial" w:cs="Arial"/>
            <w:b/>
            <w:bCs/>
            <w:i/>
            <w:iCs/>
            <w:color w:val="auto"/>
            <w:sz w:val="14"/>
            <w:szCs w:val="14"/>
          </w:rPr>
          <w:t>2015</w:t>
        </w:r>
      </w:hyperlink>
      <w:r w:rsidRPr="00F607F2">
        <w:rPr>
          <w:rFonts w:ascii="Arial" w:eastAsia="Arial" w:hAnsi="Arial" w:cs="Arial"/>
          <w:i/>
          <w:iCs/>
          <w:sz w:val="14"/>
          <w:szCs w:val="14"/>
        </w:rPr>
        <w:t xml:space="preserve">). The </w:t>
      </w:r>
      <w:r w:rsidRPr="00F607F2">
        <w:rPr>
          <w:rFonts w:ascii="Arial" w:eastAsia="Arial" w:hAnsi="Arial" w:cs="Arial"/>
          <w:i/>
          <w:iCs/>
          <w:sz w:val="14"/>
          <w:szCs w:val="14"/>
        </w:rPr>
        <w:lastRenderedPageBreak/>
        <w:t>first CI opened in Seoul in 2004 and by 2019, there were 548 CIs and nearly 1,200 Confucius Classrooms (CCs) in primary and secondary schools worldwide (Custer et al., </w:t>
      </w:r>
      <w:hyperlink r:id="rId65" w:anchor="dpr12777-bib-0005" w:history="1">
        <w:r w:rsidRPr="00F607F2">
          <w:rPr>
            <w:rStyle w:val="Hyperlink"/>
            <w:rFonts w:ascii="Arial" w:eastAsia="Arial" w:hAnsi="Arial" w:cs="Arial"/>
            <w:b/>
            <w:bCs/>
            <w:i/>
            <w:iCs/>
            <w:color w:val="auto"/>
            <w:sz w:val="14"/>
            <w:szCs w:val="14"/>
          </w:rPr>
          <w:t>2019</w:t>
        </w:r>
      </w:hyperlink>
      <w:r w:rsidRPr="00F607F2">
        <w:rPr>
          <w:rFonts w:ascii="Arial" w:eastAsia="Arial" w:hAnsi="Arial" w:cs="Arial"/>
          <w:i/>
          <w:iCs/>
          <w:sz w:val="14"/>
          <w:szCs w:val="14"/>
        </w:rPr>
        <w:t>). Hanban, a body composed of representatives from 12 Chinese central government ministries and commissions, with the Ministry of Education taking primary responsibility, was in charge of administering the institutes, supplying teachers, and developing and distributing teaching materials until an organizational reform in 2020.</w:t>
      </w:r>
      <w:hyperlink r:id="rId66" w:anchor="dpr12777-note-1002_note_1" w:tooltip="Link to note" w:history="1">
        <w:r w:rsidRPr="00F607F2">
          <w:rPr>
            <w:rStyle w:val="Hyperlink"/>
            <w:rFonts w:ascii="Arial" w:eastAsia="Arial" w:hAnsi="Arial" w:cs="Arial"/>
            <w:b/>
            <w:bCs/>
            <w:i/>
            <w:iCs/>
            <w:color w:val="auto"/>
            <w:sz w:val="14"/>
            <w:szCs w:val="14"/>
          </w:rPr>
          <w:t>2</w:t>
        </w:r>
      </w:hyperlink>
      <w:r w:rsidRPr="00F607F2">
        <w:rPr>
          <w:rFonts w:ascii="Arial" w:eastAsia="Arial" w:hAnsi="Arial" w:cs="Arial"/>
          <w:i/>
          <w:iCs/>
          <w:sz w:val="14"/>
          <w:szCs w:val="14"/>
        </w:rPr>
        <w:t> Hanban also co-ordinated collaboration among partner institutions in China and abroad that ran CIs and provided funding for their operations (Hartig, </w:t>
      </w:r>
      <w:hyperlink r:id="rId67" w:anchor="dpr12777-bib-0016" w:history="1">
        <w:r w:rsidRPr="00F607F2">
          <w:rPr>
            <w:rStyle w:val="Hyperlink"/>
            <w:rFonts w:ascii="Arial" w:eastAsia="Arial" w:hAnsi="Arial" w:cs="Arial"/>
            <w:b/>
            <w:bCs/>
            <w:i/>
            <w:iCs/>
            <w:color w:val="auto"/>
            <w:sz w:val="14"/>
            <w:szCs w:val="14"/>
          </w:rPr>
          <w:t>2015</w:t>
        </w:r>
      </w:hyperlink>
      <w:r w:rsidRPr="00F607F2">
        <w:rPr>
          <w:rFonts w:ascii="Arial" w:eastAsia="Arial" w:hAnsi="Arial" w:cs="Arial"/>
          <w:i/>
          <w:iCs/>
          <w:sz w:val="14"/>
          <w:szCs w:val="14"/>
        </w:rPr>
        <w:t>). According to the research, CIs/CCs are instruments for strengthening China's soft powers (Lo &amp; Pan, </w:t>
      </w:r>
      <w:hyperlink r:id="rId68" w:anchor="dpr12777-bib-0029" w:history="1">
        <w:r w:rsidRPr="00F607F2">
          <w:rPr>
            <w:rStyle w:val="Hyperlink"/>
            <w:rFonts w:ascii="Arial" w:eastAsia="Arial" w:hAnsi="Arial" w:cs="Arial"/>
            <w:b/>
            <w:bCs/>
            <w:i/>
            <w:iCs/>
            <w:color w:val="auto"/>
            <w:sz w:val="14"/>
            <w:szCs w:val="14"/>
          </w:rPr>
          <w:t>2016</w:t>
        </w:r>
      </w:hyperlink>
      <w:r w:rsidRPr="00F607F2">
        <w:rPr>
          <w:rFonts w:ascii="Arial" w:eastAsia="Arial" w:hAnsi="Arial" w:cs="Arial"/>
          <w:i/>
          <w:iCs/>
          <w:sz w:val="14"/>
          <w:szCs w:val="14"/>
        </w:rPr>
        <w:t>; Ye, </w:t>
      </w:r>
      <w:hyperlink r:id="rId69" w:anchor="dpr12777-bib-0052" w:history="1">
        <w:r w:rsidRPr="00F607F2">
          <w:rPr>
            <w:rStyle w:val="Hyperlink"/>
            <w:rFonts w:ascii="Arial" w:eastAsia="Arial" w:hAnsi="Arial" w:cs="Arial"/>
            <w:b/>
            <w:bCs/>
            <w:i/>
            <w:iCs/>
            <w:color w:val="auto"/>
            <w:sz w:val="14"/>
            <w:szCs w:val="14"/>
          </w:rPr>
          <w:t>2022</w:t>
        </w:r>
      </w:hyperlink>
      <w:r w:rsidRPr="00F607F2">
        <w:rPr>
          <w:rFonts w:ascii="Arial" w:eastAsia="Arial" w:hAnsi="Arial" w:cs="Arial"/>
          <w:i/>
          <w:iCs/>
          <w:sz w:val="14"/>
          <w:szCs w:val="14"/>
        </w:rPr>
        <w:t>). CIs/CCs play important roles in promoting Chinese language and both in the Global North and in the Global South as a key component of IEC.</w:t>
      </w:r>
    </w:p>
    <w:p w14:paraId="6778FBAE"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This study, unlike previous research and Chinese official statistics, provides comprehensive and disaggregated monetary data for China's IEC at the project level. The White Papers of the State Council Information Office of PRC on foreign aid and international development co-operation (2011, 2014, 2021) only show aggregated data on Chinese foreign aid to each sector, including education, over several years. As one of the recognized researchers on the financial estimation of China's foreign aid, Kitano and </w:t>
      </w:r>
      <w:proofErr w:type="spellStart"/>
      <w:r w:rsidRPr="00F607F2">
        <w:rPr>
          <w:rFonts w:ascii="Arial" w:eastAsia="Arial" w:hAnsi="Arial" w:cs="Arial"/>
          <w:i/>
          <w:iCs/>
          <w:sz w:val="14"/>
          <w:szCs w:val="14"/>
        </w:rPr>
        <w:t>Miayabayashi</w:t>
      </w:r>
      <w:proofErr w:type="spellEnd"/>
      <w:r w:rsidRPr="00F607F2">
        <w:rPr>
          <w:rFonts w:ascii="Arial" w:eastAsia="Arial" w:hAnsi="Arial" w:cs="Arial"/>
          <w:i/>
          <w:iCs/>
          <w:sz w:val="14"/>
          <w:szCs w:val="14"/>
        </w:rPr>
        <w:t xml:space="preserve"> (2020) demonstrate the fiscal data of Chinese educational aid based on Ministry of Education budgetary statistics, but their study does not identify or capture China's IEC investment by other institutions, such as CEXIM and MOFCOM.</w:t>
      </w:r>
    </w:p>
    <w:p w14:paraId="275C3B4C" w14:textId="77777777" w:rsidR="00F607F2" w:rsidRPr="00F607F2" w:rsidRDefault="00F607F2" w:rsidP="00F607F2">
      <w:pPr>
        <w:rPr>
          <w:rFonts w:ascii="Arial" w:eastAsia="Arial" w:hAnsi="Arial" w:cs="Arial"/>
          <w:b/>
          <w:bCs/>
          <w:i/>
          <w:iCs/>
          <w:sz w:val="14"/>
          <w:szCs w:val="14"/>
        </w:rPr>
      </w:pPr>
      <w:r w:rsidRPr="00F607F2">
        <w:rPr>
          <w:rFonts w:ascii="Arial" w:eastAsia="Arial" w:hAnsi="Arial" w:cs="Arial"/>
          <w:b/>
          <w:bCs/>
          <w:i/>
          <w:iCs/>
          <w:sz w:val="14"/>
          <w:szCs w:val="14"/>
        </w:rPr>
        <w:t>3 METHOD AND DATA</w:t>
      </w:r>
    </w:p>
    <w:p w14:paraId="185B9A78"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3.1 Methodology</w:t>
      </w:r>
    </w:p>
    <w:p w14:paraId="0D41A87E"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Based on existing knowledge, we hope to gain a better understanding of China's IEC priorities and funding levels. This study uses standardized methods of project measurement and classification to estimate globally comparable Chinese education project portfolios from 2000 to 2017. To achieve our goal of quantifying China's IEC compared to other major donors, we used the OECD's standardized measures, such as types of overseas finance flow and class and subsector categorization.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2.0's classification is consistent with the OECD standard. The following subsections describe data sources, inclusion and exclusion criteria, an education aid classification framework, coding processes, and estimation methods for comparing China's education aid with that of other donors. This article uses the term “project” to describe aid activity and data, as does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w:t>
      </w:r>
    </w:p>
    <w:p w14:paraId="2AE99469"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3.2 Database</w:t>
      </w:r>
    </w:p>
    <w:p w14:paraId="5DEF412E"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This study examines the IEC projects included in </w:t>
      </w:r>
      <w:proofErr w:type="spellStart"/>
      <w:r w:rsidRPr="00F607F2">
        <w:rPr>
          <w:rFonts w:ascii="Arial" w:eastAsia="Arial" w:hAnsi="Arial" w:cs="Arial"/>
          <w:i/>
          <w:iCs/>
          <w:sz w:val="14"/>
          <w:szCs w:val="14"/>
        </w:rPr>
        <w:t>AidData's</w:t>
      </w:r>
      <w:proofErr w:type="spellEnd"/>
      <w:r w:rsidRPr="00F607F2">
        <w:rPr>
          <w:rFonts w:ascii="Arial" w:eastAsia="Arial" w:hAnsi="Arial" w:cs="Arial"/>
          <w:i/>
          <w:iCs/>
          <w:sz w:val="14"/>
          <w:szCs w:val="14"/>
        </w:rPr>
        <w:t xml:space="preserve"> Global Chinese Official Finance Dataset (Version 2.0).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is created and managed by a research team at the College of William &amp; Mary in the United States. It released the first version of the Global Chinese Official Finance Dataset in 2017 and the most recent version, Version 2.0, in 2021. The database gathers information related to official overseas finance projects in China using the Tracking Under-Reported Financial Flows (TUFF) method. The TUFF method for identifying official Chinese aid is based on four sources of information: first, English and Chinese language press reports; second, documents published by Chinese ministries, embassies, and economic and commercial counsellor offices; third, aid and debt information published by recipient countries' finance and line ministries; and finally, case studies and field research by academics and non-governmental organizations (Custer et al., </w:t>
      </w:r>
      <w:hyperlink r:id="rId70" w:anchor="dpr12777-bib-0004" w:history="1">
        <w:r w:rsidRPr="00F607F2">
          <w:rPr>
            <w:rStyle w:val="Hyperlink"/>
            <w:rFonts w:ascii="Arial" w:eastAsia="Arial" w:hAnsi="Arial" w:cs="Arial"/>
            <w:b/>
            <w:bCs/>
            <w:i/>
            <w:iCs/>
            <w:color w:val="auto"/>
            <w:sz w:val="14"/>
            <w:szCs w:val="14"/>
          </w:rPr>
          <w:t>2021</w:t>
        </w:r>
      </w:hyperlink>
      <w:r w:rsidRPr="00F607F2">
        <w:rPr>
          <w:rFonts w:ascii="Arial" w:eastAsia="Arial" w:hAnsi="Arial" w:cs="Arial"/>
          <w:i/>
          <w:iCs/>
          <w:sz w:val="14"/>
          <w:szCs w:val="14"/>
        </w:rPr>
        <w:t xml:space="preserve">). As a result, the information gathered is primarily limited to committed financial activities and does not include the disbursements for many projects. Because the database includes project-level disaggregated panel data, economists, political scientists, and computational geographers can examine the nature, distribution, and impact of Chinese government-funded projects. They have appeared in reputable journals and other publications (Dreher, Fuchs, </w:t>
      </w:r>
      <w:proofErr w:type="spellStart"/>
      <w:r w:rsidRPr="00F607F2">
        <w:rPr>
          <w:rFonts w:ascii="Arial" w:eastAsia="Arial" w:hAnsi="Arial" w:cs="Arial"/>
          <w:i/>
          <w:iCs/>
          <w:sz w:val="14"/>
          <w:szCs w:val="14"/>
        </w:rPr>
        <w:t>Hodler</w:t>
      </w:r>
      <w:proofErr w:type="spellEnd"/>
      <w:r w:rsidRPr="00F607F2">
        <w:rPr>
          <w:rFonts w:ascii="Arial" w:eastAsia="Arial" w:hAnsi="Arial" w:cs="Arial"/>
          <w:i/>
          <w:iCs/>
          <w:sz w:val="14"/>
          <w:szCs w:val="14"/>
        </w:rPr>
        <w:t xml:space="preserve"> et al., </w:t>
      </w:r>
      <w:hyperlink r:id="rId71" w:anchor="dpr12777-bib-0009" w:history="1">
        <w:r w:rsidRPr="00F607F2">
          <w:rPr>
            <w:rStyle w:val="Hyperlink"/>
            <w:rFonts w:ascii="Arial" w:eastAsia="Arial" w:hAnsi="Arial" w:cs="Arial"/>
            <w:b/>
            <w:bCs/>
            <w:i/>
            <w:iCs/>
            <w:color w:val="auto"/>
            <w:sz w:val="14"/>
            <w:szCs w:val="14"/>
          </w:rPr>
          <w:t>2021</w:t>
        </w:r>
      </w:hyperlink>
      <w:r w:rsidRPr="00F607F2">
        <w:rPr>
          <w:rFonts w:ascii="Arial" w:eastAsia="Arial" w:hAnsi="Arial" w:cs="Arial"/>
          <w:i/>
          <w:iCs/>
          <w:sz w:val="14"/>
          <w:szCs w:val="14"/>
        </w:rPr>
        <w:t>; Dreher, Fuchs, Parks et al., </w:t>
      </w:r>
      <w:hyperlink r:id="rId72" w:anchor="dpr12777-bib-0010" w:history="1">
        <w:r w:rsidRPr="00F607F2">
          <w:rPr>
            <w:rStyle w:val="Hyperlink"/>
            <w:rFonts w:ascii="Arial" w:eastAsia="Arial" w:hAnsi="Arial" w:cs="Arial"/>
            <w:b/>
            <w:bCs/>
            <w:i/>
            <w:iCs/>
            <w:color w:val="auto"/>
            <w:sz w:val="14"/>
            <w:szCs w:val="14"/>
          </w:rPr>
          <w:t>2021</w:t>
        </w:r>
      </w:hyperlink>
      <w:r w:rsidRPr="00F607F2">
        <w:rPr>
          <w:rFonts w:ascii="Arial" w:eastAsia="Arial" w:hAnsi="Arial" w:cs="Arial"/>
          <w:i/>
          <w:iCs/>
          <w:sz w:val="14"/>
          <w:szCs w:val="14"/>
        </w:rPr>
        <w:t xml:space="preserve">; Guillon &amp; </w:t>
      </w:r>
      <w:proofErr w:type="spellStart"/>
      <w:r w:rsidRPr="00F607F2">
        <w:rPr>
          <w:rFonts w:ascii="Arial" w:eastAsia="Arial" w:hAnsi="Arial" w:cs="Arial"/>
          <w:i/>
          <w:iCs/>
          <w:sz w:val="14"/>
          <w:szCs w:val="14"/>
        </w:rPr>
        <w:t>Mathonnat</w:t>
      </w:r>
      <w:proofErr w:type="spellEnd"/>
      <w:r w:rsidRPr="00F607F2">
        <w:rPr>
          <w:rFonts w:ascii="Arial" w:eastAsia="Arial" w:hAnsi="Arial" w:cs="Arial"/>
          <w:i/>
          <w:iCs/>
          <w:sz w:val="14"/>
          <w:szCs w:val="14"/>
        </w:rPr>
        <w:t>, </w:t>
      </w:r>
      <w:hyperlink r:id="rId73" w:anchor="dpr12777-bib-0014" w:history="1">
        <w:r w:rsidRPr="00F607F2">
          <w:rPr>
            <w:rStyle w:val="Hyperlink"/>
            <w:rFonts w:ascii="Arial" w:eastAsia="Arial" w:hAnsi="Arial" w:cs="Arial"/>
            <w:b/>
            <w:bCs/>
            <w:i/>
            <w:iCs/>
            <w:color w:val="auto"/>
            <w:sz w:val="14"/>
            <w:szCs w:val="14"/>
          </w:rPr>
          <w:t>2020</w:t>
        </w:r>
      </w:hyperlink>
      <w:r w:rsidRPr="00F607F2">
        <w:rPr>
          <w:rFonts w:ascii="Arial" w:eastAsia="Arial" w:hAnsi="Arial" w:cs="Arial"/>
          <w:i/>
          <w:iCs/>
          <w:sz w:val="14"/>
          <w:szCs w:val="14"/>
        </w:rPr>
        <w:t xml:space="preserve">; Humphrey &amp; </w:t>
      </w:r>
      <w:proofErr w:type="spellStart"/>
      <w:r w:rsidRPr="00F607F2">
        <w:rPr>
          <w:rFonts w:ascii="Arial" w:eastAsia="Arial" w:hAnsi="Arial" w:cs="Arial"/>
          <w:i/>
          <w:iCs/>
          <w:sz w:val="14"/>
          <w:szCs w:val="14"/>
        </w:rPr>
        <w:t>Michaelowa</w:t>
      </w:r>
      <w:proofErr w:type="spellEnd"/>
      <w:r w:rsidRPr="00F607F2">
        <w:rPr>
          <w:rFonts w:ascii="Arial" w:eastAsia="Arial" w:hAnsi="Arial" w:cs="Arial"/>
          <w:i/>
          <w:iCs/>
          <w:sz w:val="14"/>
          <w:szCs w:val="14"/>
        </w:rPr>
        <w:t>, </w:t>
      </w:r>
      <w:hyperlink r:id="rId74" w:anchor="dpr12777-bib-0017" w:history="1">
        <w:r w:rsidRPr="00F607F2">
          <w:rPr>
            <w:rStyle w:val="Hyperlink"/>
            <w:rFonts w:ascii="Arial" w:eastAsia="Arial" w:hAnsi="Arial" w:cs="Arial"/>
            <w:b/>
            <w:bCs/>
            <w:i/>
            <w:iCs/>
            <w:color w:val="auto"/>
            <w:sz w:val="14"/>
            <w:szCs w:val="14"/>
          </w:rPr>
          <w:t>2019</w:t>
        </w:r>
      </w:hyperlink>
      <w:r w:rsidRPr="00F607F2">
        <w:rPr>
          <w:rFonts w:ascii="Arial" w:eastAsia="Arial" w:hAnsi="Arial" w:cs="Arial"/>
          <w:i/>
          <w:iCs/>
          <w:sz w:val="14"/>
          <w:szCs w:val="14"/>
        </w:rPr>
        <w:t xml:space="preserve">; Guillon &amp; </w:t>
      </w:r>
      <w:proofErr w:type="spellStart"/>
      <w:r w:rsidRPr="00F607F2">
        <w:rPr>
          <w:rFonts w:ascii="Arial" w:eastAsia="Arial" w:hAnsi="Arial" w:cs="Arial"/>
          <w:i/>
          <w:iCs/>
          <w:sz w:val="14"/>
          <w:szCs w:val="14"/>
        </w:rPr>
        <w:t>Mathonnat</w:t>
      </w:r>
      <w:proofErr w:type="spellEnd"/>
      <w:r w:rsidRPr="00F607F2">
        <w:rPr>
          <w:rFonts w:ascii="Arial" w:eastAsia="Arial" w:hAnsi="Arial" w:cs="Arial"/>
          <w:i/>
          <w:iCs/>
          <w:sz w:val="14"/>
          <w:szCs w:val="14"/>
        </w:rPr>
        <w:t>, </w:t>
      </w:r>
      <w:hyperlink r:id="rId75" w:anchor="dpr12777-bib-0014" w:history="1">
        <w:r w:rsidRPr="00F607F2">
          <w:rPr>
            <w:rStyle w:val="Hyperlink"/>
            <w:rFonts w:ascii="Arial" w:eastAsia="Arial" w:hAnsi="Arial" w:cs="Arial"/>
            <w:b/>
            <w:bCs/>
            <w:i/>
            <w:iCs/>
            <w:color w:val="auto"/>
            <w:sz w:val="14"/>
            <w:szCs w:val="14"/>
          </w:rPr>
          <w:t>2020</w:t>
        </w:r>
      </w:hyperlink>
      <w:r w:rsidRPr="00F607F2">
        <w:rPr>
          <w:rFonts w:ascii="Arial" w:eastAsia="Arial" w:hAnsi="Arial" w:cs="Arial"/>
          <w:i/>
          <w:iCs/>
          <w:sz w:val="14"/>
          <w:szCs w:val="14"/>
        </w:rPr>
        <w:t>; Liu &amp; Tang, </w:t>
      </w:r>
      <w:hyperlink r:id="rId76" w:anchor="dpr12777-bib-0028" w:history="1">
        <w:r w:rsidRPr="00F607F2">
          <w:rPr>
            <w:rStyle w:val="Hyperlink"/>
            <w:rFonts w:ascii="Arial" w:eastAsia="Arial" w:hAnsi="Arial" w:cs="Arial"/>
            <w:b/>
            <w:bCs/>
            <w:i/>
            <w:iCs/>
            <w:color w:val="auto"/>
            <w:sz w:val="14"/>
            <w:szCs w:val="14"/>
          </w:rPr>
          <w:t>2018</w:t>
        </w:r>
      </w:hyperlink>
      <w:r w:rsidRPr="00F607F2">
        <w:rPr>
          <w:rFonts w:ascii="Arial" w:eastAsia="Arial" w:hAnsi="Arial" w:cs="Arial"/>
          <w:i/>
          <w:iCs/>
          <w:sz w:val="14"/>
          <w:szCs w:val="14"/>
        </w:rPr>
        <w:t>; Yoo, </w:t>
      </w:r>
      <w:hyperlink r:id="rId77" w:anchor="dpr12777-bib-0053" w:history="1">
        <w:r w:rsidRPr="00F607F2">
          <w:rPr>
            <w:rStyle w:val="Hyperlink"/>
            <w:rFonts w:ascii="Arial" w:eastAsia="Arial" w:hAnsi="Arial" w:cs="Arial"/>
            <w:b/>
            <w:bCs/>
            <w:i/>
            <w:iCs/>
            <w:color w:val="auto"/>
            <w:sz w:val="14"/>
            <w:szCs w:val="14"/>
          </w:rPr>
          <w:t>2021</w:t>
        </w:r>
      </w:hyperlink>
      <w:r w:rsidRPr="00F607F2">
        <w:rPr>
          <w:rFonts w:ascii="Arial" w:eastAsia="Arial" w:hAnsi="Arial" w:cs="Arial"/>
          <w:i/>
          <w:iCs/>
          <w:sz w:val="14"/>
          <w:szCs w:val="14"/>
        </w:rPr>
        <w:t>).</w:t>
      </w:r>
    </w:p>
    <w:p w14:paraId="3EA47507"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3.3 Inclusion and exclusion criteria</w:t>
      </w:r>
    </w:p>
    <w:p w14:paraId="462A55EC"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Based on a study by McDade et al. (</w:t>
      </w:r>
      <w:hyperlink r:id="rId78" w:anchor="dpr12777-bib-0031" w:history="1">
        <w:r w:rsidRPr="00F607F2">
          <w:rPr>
            <w:rStyle w:val="Hyperlink"/>
            <w:rFonts w:ascii="Arial" w:eastAsia="Arial" w:hAnsi="Arial" w:cs="Arial"/>
            <w:b/>
            <w:bCs/>
            <w:i/>
            <w:iCs/>
            <w:color w:val="auto"/>
            <w:sz w:val="14"/>
            <w:szCs w:val="14"/>
          </w:rPr>
          <w:t>2022</w:t>
        </w:r>
      </w:hyperlink>
      <w:r w:rsidRPr="00F607F2">
        <w:rPr>
          <w:rFonts w:ascii="Arial" w:eastAsia="Arial" w:hAnsi="Arial" w:cs="Arial"/>
          <w:i/>
          <w:iCs/>
          <w:sz w:val="14"/>
          <w:szCs w:val="14"/>
        </w:rPr>
        <w:t xml:space="preserve">), we defined and selected the following projects in the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database:</w:t>
      </w:r>
    </w:p>
    <w:p w14:paraId="612F2A68" w14:textId="77777777" w:rsidR="00F607F2" w:rsidRPr="00F607F2" w:rsidRDefault="00F607F2" w:rsidP="00F607F2">
      <w:pPr>
        <w:numPr>
          <w:ilvl w:val="0"/>
          <w:numId w:val="4"/>
        </w:numPr>
        <w:rPr>
          <w:rFonts w:ascii="Arial" w:eastAsia="Arial" w:hAnsi="Arial" w:cs="Arial"/>
          <w:i/>
          <w:iCs/>
          <w:sz w:val="14"/>
          <w:szCs w:val="14"/>
        </w:rPr>
      </w:pP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uses the globally recognized and standardized OECD Creditor Reporting System (CRS) definition to classify projects into sectors. Therefore, like those in the CRS, education aid projects are classified using the sector code “education” (110) as well as sector-level categories.</w:t>
      </w:r>
    </w:p>
    <w:p w14:paraId="697AB24B" w14:textId="77777777" w:rsidR="00F607F2" w:rsidRPr="00F607F2" w:rsidRDefault="00F607F2" w:rsidP="00F607F2">
      <w:pPr>
        <w:numPr>
          <w:ilvl w:val="0"/>
          <w:numId w:val="4"/>
        </w:numPr>
        <w:rPr>
          <w:rFonts w:ascii="Arial" w:eastAsia="Arial" w:hAnsi="Arial" w:cs="Arial"/>
          <w:i/>
          <w:iCs/>
          <w:sz w:val="14"/>
          <w:szCs w:val="14"/>
        </w:rPr>
      </w:pPr>
      <w:r w:rsidRPr="00F607F2">
        <w:rPr>
          <w:rFonts w:ascii="Arial" w:eastAsia="Arial" w:hAnsi="Arial" w:cs="Arial"/>
          <w:i/>
          <w:iCs/>
          <w:sz w:val="14"/>
          <w:szCs w:val="14"/>
        </w:rPr>
        <w:t xml:space="preserve">We included only projects marked as “recommended for aggregates” by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This label indicates that projects are completed, ongoing, or in the pipeline commitments (i.e. a written and funded pledge) (Custer et al., </w:t>
      </w:r>
      <w:hyperlink r:id="rId79" w:anchor="dpr12777-bib-0004" w:history="1">
        <w:r w:rsidRPr="00F607F2">
          <w:rPr>
            <w:rStyle w:val="Hyperlink"/>
            <w:rFonts w:ascii="Arial" w:eastAsia="Arial" w:hAnsi="Arial" w:cs="Arial"/>
            <w:b/>
            <w:bCs/>
            <w:i/>
            <w:iCs/>
            <w:color w:val="auto"/>
            <w:sz w:val="14"/>
            <w:szCs w:val="14"/>
          </w:rPr>
          <w:t>2021</w:t>
        </w:r>
      </w:hyperlink>
      <w:r w:rsidRPr="00F607F2">
        <w:rPr>
          <w:rFonts w:ascii="Arial" w:eastAsia="Arial" w:hAnsi="Arial" w:cs="Arial"/>
          <w:i/>
          <w:iCs/>
          <w:sz w:val="14"/>
          <w:szCs w:val="14"/>
        </w:rPr>
        <w:t xml:space="preserve">). We base our analysis on the commitment year due to the lack of available disbursement amounts for </w:t>
      </w:r>
      <w:proofErr w:type="gramStart"/>
      <w:r w:rsidRPr="00F607F2">
        <w:rPr>
          <w:rFonts w:ascii="Arial" w:eastAsia="Arial" w:hAnsi="Arial" w:cs="Arial"/>
          <w:i/>
          <w:iCs/>
          <w:sz w:val="14"/>
          <w:szCs w:val="14"/>
        </w:rPr>
        <w:t>the majority of</w:t>
      </w:r>
      <w:proofErr w:type="gramEnd"/>
      <w:r w:rsidRPr="00F607F2">
        <w:rPr>
          <w:rFonts w:ascii="Arial" w:eastAsia="Arial" w:hAnsi="Arial" w:cs="Arial"/>
          <w:i/>
          <w:iCs/>
          <w:sz w:val="14"/>
          <w:szCs w:val="14"/>
        </w:rPr>
        <w:t xml:space="preserve"> projects in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Also, the ‘recommended for aggregates’ label prevents connected projects from being double counted (Custer et al., </w:t>
      </w:r>
      <w:hyperlink r:id="rId80" w:anchor="dpr12777-bib-0004" w:history="1">
        <w:r w:rsidRPr="00F607F2">
          <w:rPr>
            <w:rStyle w:val="Hyperlink"/>
            <w:rFonts w:ascii="Arial" w:eastAsia="Arial" w:hAnsi="Arial" w:cs="Arial"/>
            <w:b/>
            <w:bCs/>
            <w:i/>
            <w:iCs/>
            <w:color w:val="auto"/>
            <w:sz w:val="14"/>
            <w:szCs w:val="14"/>
          </w:rPr>
          <w:t>2021</w:t>
        </w:r>
      </w:hyperlink>
      <w:r w:rsidRPr="00F607F2">
        <w:rPr>
          <w:rFonts w:ascii="Arial" w:eastAsia="Arial" w:hAnsi="Arial" w:cs="Arial"/>
          <w:i/>
          <w:iCs/>
          <w:sz w:val="14"/>
          <w:szCs w:val="14"/>
        </w:rPr>
        <w:t>).</w:t>
      </w:r>
    </w:p>
    <w:p w14:paraId="2316D146" w14:textId="77777777" w:rsidR="00F607F2" w:rsidRPr="00F607F2" w:rsidRDefault="00F607F2" w:rsidP="00F607F2">
      <w:pPr>
        <w:numPr>
          <w:ilvl w:val="0"/>
          <w:numId w:val="4"/>
        </w:numPr>
        <w:rPr>
          <w:rFonts w:ascii="Arial" w:eastAsia="Arial" w:hAnsi="Arial" w:cs="Arial"/>
          <w:i/>
          <w:iCs/>
          <w:sz w:val="14"/>
          <w:szCs w:val="14"/>
        </w:rPr>
      </w:pPr>
      <w:r w:rsidRPr="00F607F2">
        <w:rPr>
          <w:rFonts w:ascii="Arial" w:eastAsia="Arial" w:hAnsi="Arial" w:cs="Arial"/>
          <w:i/>
          <w:iCs/>
          <w:sz w:val="14"/>
          <w:szCs w:val="14"/>
        </w:rPr>
        <w:t>To provide a comprehensive overview of IEC, this analysis includes all official overseas financing projects, including those that meet the criteria for ODA (referred to as ODA-like projects). However, we only consider ODA-like projects in our comparative analysis of educational aid between China and traditional donors to enable international donor comparisons.</w:t>
      </w:r>
    </w:p>
    <w:p w14:paraId="3D671EBB"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ODA, as the name implies, is official assistance for recipients' development purposes, while official overseas finance other than ODA is classified as OOF. Commercial finance to Global South countries is classified as OOF, whereas loans with high </w:t>
      </w:r>
      <w:proofErr w:type="spellStart"/>
      <w:r w:rsidRPr="00F607F2">
        <w:rPr>
          <w:rFonts w:ascii="Arial" w:eastAsia="Arial" w:hAnsi="Arial" w:cs="Arial"/>
          <w:i/>
          <w:iCs/>
          <w:sz w:val="14"/>
          <w:szCs w:val="14"/>
        </w:rPr>
        <w:t>concessionality</w:t>
      </w:r>
      <w:proofErr w:type="spellEnd"/>
      <w:r w:rsidRPr="00F607F2">
        <w:rPr>
          <w:rFonts w:ascii="Arial" w:eastAsia="Arial" w:hAnsi="Arial" w:cs="Arial"/>
          <w:i/>
          <w:iCs/>
          <w:sz w:val="14"/>
          <w:szCs w:val="14"/>
        </w:rPr>
        <w:t xml:space="preserve"> (i.e. very low interest rates and a long grace period for repayment) are still categorized as ODA due to their aid status. Meanwhile, overseas finance with high </w:t>
      </w:r>
      <w:proofErr w:type="spellStart"/>
      <w:r w:rsidRPr="00F607F2">
        <w:rPr>
          <w:rFonts w:ascii="Arial" w:eastAsia="Arial" w:hAnsi="Arial" w:cs="Arial"/>
          <w:i/>
          <w:iCs/>
          <w:sz w:val="14"/>
          <w:szCs w:val="14"/>
        </w:rPr>
        <w:t>concessionality</w:t>
      </w:r>
      <w:proofErr w:type="spellEnd"/>
      <w:r w:rsidRPr="00F607F2">
        <w:rPr>
          <w:rFonts w:ascii="Arial" w:eastAsia="Arial" w:hAnsi="Arial" w:cs="Arial"/>
          <w:i/>
          <w:iCs/>
          <w:sz w:val="14"/>
          <w:szCs w:val="14"/>
        </w:rPr>
        <w:t xml:space="preserve"> does not always imply ODA: the aim of the project is an important factor in determining the category of such flow class. Export credits, military aid, and highly representational aid are not classified as ODA because their primary purposes are unrelated to the development of their recipient countries. Annex </w:t>
      </w:r>
      <w:hyperlink r:id="rId81" w:anchor="support-information-section" w:history="1">
        <w:r w:rsidRPr="00F607F2">
          <w:rPr>
            <w:rStyle w:val="Hyperlink"/>
            <w:rFonts w:ascii="Arial" w:eastAsia="Arial" w:hAnsi="Arial" w:cs="Arial"/>
            <w:b/>
            <w:bCs/>
            <w:i/>
            <w:iCs/>
            <w:color w:val="auto"/>
            <w:sz w:val="14"/>
            <w:szCs w:val="14"/>
          </w:rPr>
          <w:t>7</w:t>
        </w:r>
      </w:hyperlink>
      <w:r w:rsidRPr="00F607F2">
        <w:rPr>
          <w:rFonts w:ascii="Arial" w:eastAsia="Arial" w:hAnsi="Arial" w:cs="Arial"/>
          <w:i/>
          <w:iCs/>
          <w:sz w:val="14"/>
          <w:szCs w:val="14"/>
        </w:rPr>
        <w:t> contains details on each finance flow category, such as ODA-like and OOF-like.</w:t>
      </w:r>
    </w:p>
    <w:p w14:paraId="3812BD88"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This study emphasizes the importance of conducting a thorough analysis of China's IEC rather than solely focusing on ODA-like education finance. The discourse of IEC in Asia, such as Japan, connotes horizontal co-operation between the countries involved, as opposed to aid, which connotes a hierarchical or vertical relationship between donor and recipient countries (Kuroda, </w:t>
      </w:r>
      <w:hyperlink r:id="rId82" w:anchor="dpr12777-bib-0027" w:history="1">
        <w:r w:rsidRPr="00F607F2">
          <w:rPr>
            <w:rStyle w:val="Hyperlink"/>
            <w:rFonts w:ascii="Arial" w:eastAsia="Arial" w:hAnsi="Arial" w:cs="Arial"/>
            <w:b/>
            <w:bCs/>
            <w:i/>
            <w:iCs/>
            <w:color w:val="auto"/>
            <w:sz w:val="14"/>
            <w:szCs w:val="14"/>
          </w:rPr>
          <w:t>2023</w:t>
        </w:r>
      </w:hyperlink>
      <w:r w:rsidRPr="00F607F2">
        <w:rPr>
          <w:rFonts w:ascii="Arial" w:eastAsia="Arial" w:hAnsi="Arial" w:cs="Arial"/>
          <w:i/>
          <w:iCs/>
          <w:sz w:val="14"/>
          <w:szCs w:val="14"/>
        </w:rPr>
        <w:t xml:space="preserve">). The concept of IEC in the Asian sense, based on horizontal relationships with recipient countries, categorizes China's IEC as “South–South Co-operation” which emphasizes horizontal mutual relationships among countries of the Global South. Furthermore, in practice diverse actors are involved in China's overseas educational investment, with a significant portion provided through OOF-like finance. China's major financiers, such as CEXIM and CDB, offer significant amounts of OOF-like finance, such as non-concessional commercial loans or export credit. Additionally, the education-sector aid includes language education or other diplomatic “representational” intention commitments, which are categorized as OOF-like finance by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Thus, our scope is to analyse IEC, including OOF-like finance, to avoid underestimating China's importance in global education finance by focusing solely on its ODA-like finance.</w:t>
      </w:r>
    </w:p>
    <w:p w14:paraId="41FDDCD4"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lastRenderedPageBreak/>
        <w:t>Figure </w:t>
      </w:r>
      <w:hyperlink r:id="rId83" w:anchor="dpr12777-fig-0001" w:history="1">
        <w:r w:rsidRPr="00F607F2">
          <w:rPr>
            <w:rStyle w:val="Hyperlink"/>
            <w:rFonts w:ascii="Arial" w:eastAsia="Arial" w:hAnsi="Arial" w:cs="Arial"/>
            <w:b/>
            <w:bCs/>
            <w:i/>
            <w:iCs/>
            <w:color w:val="auto"/>
            <w:sz w:val="14"/>
            <w:szCs w:val="14"/>
          </w:rPr>
          <w:t>1</w:t>
        </w:r>
      </w:hyperlink>
      <w:r w:rsidRPr="00F607F2">
        <w:rPr>
          <w:rFonts w:ascii="Arial" w:eastAsia="Arial" w:hAnsi="Arial" w:cs="Arial"/>
          <w:i/>
          <w:iCs/>
          <w:sz w:val="14"/>
          <w:szCs w:val="14"/>
        </w:rPr>
        <w:t xml:space="preserve"> shows a flow chart of the process of screening and selecting projects for analysis using the criteria listed above. Before beginning our analysis, we thoroughly reviewed all projects that met the inclusion criteria to ensure accuracy. Our primary focus was to identify any potential </w:t>
      </w:r>
      <w:proofErr w:type="spellStart"/>
      <w:r w:rsidRPr="00F607F2">
        <w:rPr>
          <w:rFonts w:ascii="Arial" w:eastAsia="Arial" w:hAnsi="Arial" w:cs="Arial"/>
          <w:i/>
          <w:iCs/>
          <w:sz w:val="14"/>
          <w:szCs w:val="14"/>
        </w:rPr>
        <w:t>miscategorization</w:t>
      </w:r>
      <w:proofErr w:type="spellEnd"/>
      <w:r w:rsidRPr="00F607F2">
        <w:rPr>
          <w:rFonts w:ascii="Arial" w:eastAsia="Arial" w:hAnsi="Arial" w:cs="Arial"/>
          <w:i/>
          <w:iCs/>
          <w:sz w:val="14"/>
          <w:szCs w:val="14"/>
        </w:rPr>
        <w:t xml:space="preserve"> of projects as education projects. We found that the most common misclassification occurred when projects of a cultural nature were categorized as education projects. Culture sector projects, such as support for libraries or theatres, should be classified as “other social infrastructure and services” under the OECD-CRS classification system. Through this quality control, we discovered 113 projects that were incorrectly categorized and thus excluded them from the coding exercise and analysis. On the other hand, after thoroughly reviewing all projects, we discovered 47 education projects that are incorrectly categorized as belonging to another sector. In online supplemental Annex </w:t>
      </w:r>
      <w:hyperlink r:id="rId84" w:anchor="support-information-section" w:history="1">
        <w:r w:rsidRPr="00F607F2">
          <w:rPr>
            <w:rStyle w:val="Hyperlink"/>
            <w:rFonts w:ascii="Arial" w:eastAsia="Arial" w:hAnsi="Arial" w:cs="Arial"/>
            <w:b/>
            <w:bCs/>
            <w:i/>
            <w:iCs/>
            <w:color w:val="auto"/>
            <w:sz w:val="14"/>
            <w:szCs w:val="14"/>
          </w:rPr>
          <w:t>2</w:t>
        </w:r>
      </w:hyperlink>
      <w:r w:rsidRPr="00F607F2">
        <w:rPr>
          <w:rFonts w:ascii="Arial" w:eastAsia="Arial" w:hAnsi="Arial" w:cs="Arial"/>
          <w:i/>
          <w:iCs/>
          <w:sz w:val="14"/>
          <w:szCs w:val="14"/>
        </w:rPr>
        <w:t>, we provide a list of project identifications (IDs), titles, and the reasons we excluded these projects. Unless stated otherwise, this article is focused on sector code 110 as IEC projects. While we examined these 1,524 projects to conduct a comprehensive analysis of all China's IEC projects, we removed 454 OOF-like or ambiguous projects to leave 1,070 ODA-like projects for comparison with the educational ODA of other donors.</w:t>
      </w:r>
    </w:p>
    <w:p w14:paraId="430D835D" w14:textId="23FDB379" w:rsidR="00F607F2" w:rsidRPr="00F607F2" w:rsidRDefault="00F607F2" w:rsidP="00F607F2">
      <w:pPr>
        <w:rPr>
          <w:rFonts w:ascii="Arial" w:eastAsia="Arial" w:hAnsi="Arial" w:cs="Arial"/>
          <w:i/>
          <w:iCs/>
          <w:sz w:val="14"/>
          <w:szCs w:val="14"/>
        </w:rPr>
      </w:pPr>
      <w:r w:rsidRPr="00F607F2">
        <w:rPr>
          <w:rFonts w:ascii="Arial" w:eastAsia="Arial" w:hAnsi="Arial" w:cs="Arial"/>
          <w:b/>
          <w:bCs/>
          <w:i/>
          <w:iCs/>
          <w:sz w:val="14"/>
          <w:szCs w:val="14"/>
        </w:rPr>
        <mc:AlternateContent>
          <mc:Choice Requires="wps">
            <w:drawing>
              <wp:inline distT="0" distB="0" distL="0" distR="0" wp14:anchorId="686587F1" wp14:editId="123F5DC9">
                <wp:extent cx="304800" cy="304800"/>
                <wp:effectExtent l="0" t="0" r="0" b="0"/>
                <wp:docPr id="2142660482" name="Rectangle 19" descr="Details are in the caption following the image">
                  <a:hlinkClick xmlns:a="http://schemas.openxmlformats.org/drawingml/2006/main" r:id="rId8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E181A8" id="Rectangle 19" o:spid="_x0000_s1026" alt="Details are in the caption following the image" href="https://onlinelibrary.wiley.com/cms/asset/a45f5281-56e8-4c69-992b-bedf5bfff0f1/dpr12777-fig-0001-m.jp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8755229" w14:textId="77777777" w:rsidR="00F607F2" w:rsidRPr="00F607F2" w:rsidRDefault="00F607F2" w:rsidP="00F607F2">
      <w:pPr>
        <w:rPr>
          <w:rFonts w:ascii="Arial" w:eastAsia="Arial" w:hAnsi="Arial" w:cs="Arial"/>
          <w:i/>
          <w:iCs/>
          <w:sz w:val="14"/>
          <w:szCs w:val="14"/>
        </w:rPr>
      </w:pPr>
      <w:r w:rsidRPr="00F607F2">
        <w:rPr>
          <w:rFonts w:ascii="Arial" w:eastAsia="Arial" w:hAnsi="Arial" w:cs="Arial"/>
          <w:b/>
          <w:bCs/>
          <w:i/>
          <w:iCs/>
          <w:sz w:val="14"/>
          <w:szCs w:val="14"/>
        </w:rPr>
        <w:t>FIGURE 1</w:t>
      </w:r>
    </w:p>
    <w:p w14:paraId="47DDE4C2" w14:textId="77777777" w:rsidR="00F607F2" w:rsidRPr="00F607F2" w:rsidRDefault="00F607F2" w:rsidP="00F607F2">
      <w:pPr>
        <w:rPr>
          <w:rFonts w:ascii="Arial" w:eastAsia="Arial" w:hAnsi="Arial" w:cs="Arial"/>
          <w:i/>
          <w:iCs/>
          <w:sz w:val="14"/>
          <w:szCs w:val="14"/>
        </w:rPr>
      </w:pPr>
      <w:hyperlink r:id="rId86" w:history="1">
        <w:r w:rsidRPr="00F607F2">
          <w:rPr>
            <w:rStyle w:val="Hyperlink"/>
            <w:rFonts w:ascii="Arial" w:eastAsia="Arial" w:hAnsi="Arial" w:cs="Arial"/>
            <w:b/>
            <w:bCs/>
            <w:i/>
            <w:iCs/>
            <w:color w:val="auto"/>
            <w:sz w:val="14"/>
            <w:szCs w:val="14"/>
          </w:rPr>
          <w:t xml:space="preserve">Open in figure </w:t>
        </w:r>
        <w:proofErr w:type="spellStart"/>
        <w:r w:rsidRPr="00F607F2">
          <w:rPr>
            <w:rStyle w:val="Hyperlink"/>
            <w:rFonts w:ascii="Arial" w:eastAsia="Arial" w:hAnsi="Arial" w:cs="Arial"/>
            <w:b/>
            <w:bCs/>
            <w:i/>
            <w:iCs/>
            <w:color w:val="auto"/>
            <w:sz w:val="14"/>
            <w:szCs w:val="14"/>
          </w:rPr>
          <w:t>viewer</w:t>
        </w:r>
      </w:hyperlink>
      <w:hyperlink r:id="rId87" w:history="1">
        <w:r w:rsidRPr="00F607F2">
          <w:rPr>
            <w:rStyle w:val="Hyperlink"/>
            <w:rFonts w:ascii="Arial" w:eastAsia="Arial" w:hAnsi="Arial" w:cs="Arial"/>
            <w:b/>
            <w:bCs/>
            <w:i/>
            <w:iCs/>
            <w:color w:val="auto"/>
            <w:sz w:val="14"/>
            <w:szCs w:val="14"/>
          </w:rPr>
          <w:t>PowerPoint</w:t>
        </w:r>
        <w:proofErr w:type="spellEnd"/>
      </w:hyperlink>
    </w:p>
    <w:p w14:paraId="269DB5AD"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Projects included in the analysis.</w:t>
      </w:r>
    </w:p>
    <w:p w14:paraId="0B4F8777"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ODA = official development assistance; OOF = other official flows.</w:t>
      </w:r>
    </w:p>
    <w:p w14:paraId="050C9D00"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Source: Authors.</w:t>
      </w:r>
    </w:p>
    <w:p w14:paraId="4FEFC864"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3.4 Disaggregating education subsectors</w:t>
      </w:r>
    </w:p>
    <w:p w14:paraId="3CE7716E" w14:textId="77777777" w:rsidR="00F607F2" w:rsidRPr="00F607F2" w:rsidRDefault="00F607F2" w:rsidP="00F607F2">
      <w:pPr>
        <w:rPr>
          <w:rFonts w:ascii="Arial" w:eastAsia="Arial" w:hAnsi="Arial" w:cs="Arial"/>
          <w:i/>
          <w:iCs/>
          <w:sz w:val="14"/>
          <w:szCs w:val="14"/>
        </w:rPr>
      </w:pP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was created to align with the definitions established by the OECD-CRS, allowing for more meaningful comparisons between different donors. However, the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database is limited to sector-level classification (e.g. education, health, agriculture) and does not include education subsector-specific classification (e.g. primary education, vocational training, higher education). Sector-level codes are broad, making it difficult to fully understand the specific priorities and scope of projects within the realm of IEC. To provide quantitative evidence to decode myths about China's IEC, of the sort “China overly focuses on higher education aid while committing less to primary education aid,” we need the subsector coding.</w:t>
      </w:r>
    </w:p>
    <w:p w14:paraId="15F75F48"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To further classify education-sector projects by education level beyond </w:t>
      </w:r>
      <w:proofErr w:type="spellStart"/>
      <w:r w:rsidRPr="00F607F2">
        <w:rPr>
          <w:rFonts w:ascii="Arial" w:eastAsia="Arial" w:hAnsi="Arial" w:cs="Arial"/>
          <w:i/>
          <w:iCs/>
          <w:sz w:val="14"/>
          <w:szCs w:val="14"/>
        </w:rPr>
        <w:t>AidData's</w:t>
      </w:r>
      <w:proofErr w:type="spellEnd"/>
      <w:r w:rsidRPr="00F607F2">
        <w:rPr>
          <w:rFonts w:ascii="Arial" w:eastAsia="Arial" w:hAnsi="Arial" w:cs="Arial"/>
          <w:i/>
          <w:iCs/>
          <w:sz w:val="14"/>
          <w:szCs w:val="14"/>
        </w:rPr>
        <w:t xml:space="preserve"> classification, we used the OECD-CRS purpose code system for education level classification. The purpose code classification ranges from three-digit subsector codes to five-digit specific-sector codes, which indicate the “specific areas of the recipient's economic or social development that the transfer intends to foster” (OECD, </w:t>
      </w:r>
      <w:hyperlink r:id="rId88" w:anchor="dpr12777-bib-0038" w:history="1">
        <w:r w:rsidRPr="00F607F2">
          <w:rPr>
            <w:rStyle w:val="Hyperlink"/>
            <w:rFonts w:ascii="Arial" w:eastAsia="Arial" w:hAnsi="Arial" w:cs="Arial"/>
            <w:b/>
            <w:bCs/>
            <w:i/>
            <w:iCs/>
            <w:color w:val="auto"/>
            <w:sz w:val="14"/>
            <w:szCs w:val="14"/>
          </w:rPr>
          <w:t>n.d.</w:t>
        </w:r>
      </w:hyperlink>
      <w:r w:rsidRPr="00F607F2">
        <w:rPr>
          <w:rFonts w:ascii="Arial" w:eastAsia="Arial" w:hAnsi="Arial" w:cs="Arial"/>
          <w:i/>
          <w:iCs/>
          <w:sz w:val="14"/>
          <w:szCs w:val="14"/>
        </w:rPr>
        <w:t>-a). In the education sector, the three-digit purpose codes are education, basic education, secondary education and post-secondary education. The five-digit purpose codes are used for primary education, vocational training, and higher education. See the online supplemental Annex </w:t>
      </w:r>
      <w:hyperlink r:id="rId89" w:anchor="support-information-section" w:history="1">
        <w:r w:rsidRPr="00F607F2">
          <w:rPr>
            <w:rStyle w:val="Hyperlink"/>
            <w:rFonts w:ascii="Arial" w:eastAsia="Arial" w:hAnsi="Arial" w:cs="Arial"/>
            <w:b/>
            <w:bCs/>
            <w:i/>
            <w:iCs/>
            <w:color w:val="auto"/>
            <w:sz w:val="14"/>
            <w:szCs w:val="14"/>
          </w:rPr>
          <w:t>3</w:t>
        </w:r>
      </w:hyperlink>
      <w:r w:rsidRPr="00F607F2">
        <w:rPr>
          <w:rFonts w:ascii="Arial" w:eastAsia="Arial" w:hAnsi="Arial" w:cs="Arial"/>
          <w:i/>
          <w:iCs/>
          <w:sz w:val="14"/>
          <w:szCs w:val="14"/>
        </w:rPr>
        <w:t> for the complete list of education three-digit and five-digit purpose codes in the CRS framework.</w:t>
      </w:r>
    </w:p>
    <w:p w14:paraId="4E0F0A39"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3.5 Coding process</w:t>
      </w:r>
    </w:p>
    <w:p w14:paraId="320807F9"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We conducted independent reviews of all coded projects as part of the quality control process. A pilot test was conducted to ensure the consistency of the coding practices in the relevant education subsector/focus areas. The pilot coded 10% of the projects that met the inclusion criteria. The team confirmed that the classification of all </w:t>
      </w:r>
      <w:proofErr w:type="gramStart"/>
      <w:r w:rsidRPr="00F607F2">
        <w:rPr>
          <w:rFonts w:ascii="Arial" w:eastAsia="Arial" w:hAnsi="Arial" w:cs="Arial"/>
          <w:i/>
          <w:iCs/>
          <w:sz w:val="14"/>
          <w:szCs w:val="14"/>
        </w:rPr>
        <w:t>pilot</w:t>
      </w:r>
      <w:proofErr w:type="gramEnd"/>
      <w:r w:rsidRPr="00F607F2">
        <w:rPr>
          <w:rFonts w:ascii="Arial" w:eastAsia="Arial" w:hAnsi="Arial" w:cs="Arial"/>
          <w:i/>
          <w:iCs/>
          <w:sz w:val="14"/>
          <w:szCs w:val="14"/>
        </w:rPr>
        <w:t xml:space="preserve"> coded projects was correct and that the codebook met the prerequisites. When the description was unclear, the coders consulted additional sources cited in the description whenever possible. Whereas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includes brief project descriptions with hyperlinks to sources, the level of detail varies by project, and some of the links are no longer active. In such cases, the authors conducted additional searches to gather the necessary information for their projects.</w:t>
      </w:r>
    </w:p>
    <w:p w14:paraId="79269812"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When we started coding, we thoroughly researched the project descriptions, paying special attention to appropriate keywords such as “primary school,” “high school,” “vocational training,” and “university.” These keywords, combined with the overall project description, provided useful context for understanding the goal of the project. The most appropriate OECD code was assigned to each project based on an analysis of the project information. Although projects frequently include aspects that extend beyond a single education level, we followed OECD guidelines and assigned the level that accounted for the most. This also applies to projects that provide equipment or building infrastructure. For example, if a project is primarily focused on university construction, it would be classified by the CRS classification as “post-secondary education” rather than “education facilities and training,” because the project's primary goal is to provide students with higher education opportunities (see online supplemental Annex </w:t>
      </w:r>
      <w:hyperlink r:id="rId90" w:anchor="support-information-section" w:history="1">
        <w:r w:rsidRPr="00F607F2">
          <w:rPr>
            <w:rStyle w:val="Hyperlink"/>
            <w:rFonts w:ascii="Arial" w:eastAsia="Arial" w:hAnsi="Arial" w:cs="Arial"/>
            <w:b/>
            <w:bCs/>
            <w:i/>
            <w:iCs/>
            <w:color w:val="auto"/>
            <w:sz w:val="14"/>
            <w:szCs w:val="14"/>
          </w:rPr>
          <w:t>5</w:t>
        </w:r>
      </w:hyperlink>
      <w:r w:rsidRPr="00F607F2">
        <w:rPr>
          <w:rFonts w:ascii="Arial" w:eastAsia="Arial" w:hAnsi="Arial" w:cs="Arial"/>
          <w:i/>
          <w:iCs/>
          <w:sz w:val="14"/>
          <w:szCs w:val="14"/>
        </w:rPr>
        <w:t> for a sample project entry).</w:t>
      </w:r>
    </w:p>
    <w:p w14:paraId="58A4E8B8"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3.6 Estimating missing financial values</w:t>
      </w:r>
    </w:p>
    <w:p w14:paraId="4980B030"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The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dataset includes both financial values and project descriptions. However, many educational projects leave the values empty. Of the 1,524 projects analysed, only 496 projects (33%) had financial value entered—the reasons for the missing data are unclear. We took the same approach as McDade et al. (</w:t>
      </w:r>
      <w:hyperlink r:id="rId91" w:anchor="dpr12777-bib-0031" w:history="1">
        <w:r w:rsidRPr="00F607F2">
          <w:rPr>
            <w:rStyle w:val="Hyperlink"/>
            <w:rFonts w:ascii="Arial" w:eastAsia="Arial" w:hAnsi="Arial" w:cs="Arial"/>
            <w:b/>
            <w:bCs/>
            <w:i/>
            <w:iCs/>
            <w:color w:val="auto"/>
            <w:sz w:val="14"/>
            <w:szCs w:val="14"/>
          </w:rPr>
          <w:t>2022</w:t>
        </w:r>
      </w:hyperlink>
      <w:r w:rsidRPr="00F607F2">
        <w:rPr>
          <w:rFonts w:ascii="Arial" w:eastAsia="Arial" w:hAnsi="Arial" w:cs="Arial"/>
          <w:i/>
          <w:iCs/>
          <w:sz w:val="14"/>
          <w:szCs w:val="14"/>
        </w:rPr>
        <w:t>) in dealing with missing data.</w:t>
      </w:r>
    </w:p>
    <w:p w14:paraId="68F3F701"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We calculated the median and average project amounts based on the flow type and education phase. Average values tend to overestimate the financial resources allocated to a project </w:t>
      </w:r>
      <w:proofErr w:type="gramStart"/>
      <w:r w:rsidRPr="00F607F2">
        <w:rPr>
          <w:rFonts w:ascii="Arial" w:eastAsia="Arial" w:hAnsi="Arial" w:cs="Arial"/>
          <w:i/>
          <w:iCs/>
          <w:sz w:val="14"/>
          <w:szCs w:val="14"/>
        </w:rPr>
        <w:t>as a result of</w:t>
      </w:r>
      <w:proofErr w:type="gramEnd"/>
      <w:r w:rsidRPr="00F607F2">
        <w:rPr>
          <w:rFonts w:ascii="Arial" w:eastAsia="Arial" w:hAnsi="Arial" w:cs="Arial"/>
          <w:i/>
          <w:iCs/>
          <w:sz w:val="14"/>
          <w:szCs w:val="14"/>
        </w:rPr>
        <w:t xml:space="preserve"> the skewness of the sample distribution in the available data. Thus, we conducted our analysis using the median project values. More details regarding our use of median values are provided in the following sections (McDade et al., </w:t>
      </w:r>
      <w:hyperlink r:id="rId92" w:anchor="dpr12777-bib-0031" w:history="1">
        <w:r w:rsidRPr="00F607F2">
          <w:rPr>
            <w:rStyle w:val="Hyperlink"/>
            <w:rFonts w:ascii="Arial" w:eastAsia="Arial" w:hAnsi="Arial" w:cs="Arial"/>
            <w:b/>
            <w:bCs/>
            <w:i/>
            <w:iCs/>
            <w:color w:val="auto"/>
            <w:sz w:val="14"/>
            <w:szCs w:val="14"/>
          </w:rPr>
          <w:t>2022</w:t>
        </w:r>
      </w:hyperlink>
      <w:r w:rsidRPr="00F607F2">
        <w:rPr>
          <w:rFonts w:ascii="Arial" w:eastAsia="Arial" w:hAnsi="Arial" w:cs="Arial"/>
          <w:i/>
          <w:iCs/>
          <w:sz w:val="14"/>
          <w:szCs w:val="14"/>
        </w:rPr>
        <w:t>).</w:t>
      </w:r>
    </w:p>
    <w:p w14:paraId="7257CBD5"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The median value of the project was determined by two factors: education level (e.g. basic education) and flow type (e.g. grant). McDade et al. (</w:t>
      </w:r>
      <w:hyperlink r:id="rId93" w:anchor="dpr12777-bib-0031" w:history="1">
        <w:r w:rsidRPr="00F607F2">
          <w:rPr>
            <w:rStyle w:val="Hyperlink"/>
            <w:rFonts w:ascii="Arial" w:eastAsia="Arial" w:hAnsi="Arial" w:cs="Arial"/>
            <w:b/>
            <w:bCs/>
            <w:i/>
            <w:iCs/>
            <w:color w:val="auto"/>
            <w:sz w:val="14"/>
            <w:szCs w:val="14"/>
          </w:rPr>
          <w:t>2022</w:t>
        </w:r>
      </w:hyperlink>
      <w:r w:rsidRPr="00F607F2">
        <w:rPr>
          <w:rFonts w:ascii="Arial" w:eastAsia="Arial" w:hAnsi="Arial" w:cs="Arial"/>
          <w:i/>
          <w:iCs/>
          <w:sz w:val="14"/>
          <w:szCs w:val="14"/>
        </w:rPr>
        <w:t>) used the subsector as a factor to determine the project median, explaining that “a malaria grant is more likely to be similar to another malaria grant than it is to be similar to something such as a loan for a tertiary hospital” (McDade et al., </w:t>
      </w:r>
      <w:hyperlink r:id="rId94" w:anchor="dpr12777-bib-0031" w:history="1">
        <w:r w:rsidRPr="00F607F2">
          <w:rPr>
            <w:rStyle w:val="Hyperlink"/>
            <w:rFonts w:ascii="Arial" w:eastAsia="Arial" w:hAnsi="Arial" w:cs="Arial"/>
            <w:b/>
            <w:bCs/>
            <w:i/>
            <w:iCs/>
            <w:color w:val="auto"/>
            <w:sz w:val="14"/>
            <w:szCs w:val="14"/>
          </w:rPr>
          <w:t>2022</w:t>
        </w:r>
      </w:hyperlink>
      <w:r w:rsidRPr="00F607F2">
        <w:rPr>
          <w:rFonts w:ascii="Arial" w:eastAsia="Arial" w:hAnsi="Arial" w:cs="Arial"/>
          <w:i/>
          <w:iCs/>
          <w:sz w:val="14"/>
          <w:szCs w:val="14"/>
        </w:rPr>
        <w:t xml:space="preserve">, p. 4). We agree with their assumption that projects in the same subsector and flow type can have similar financial amounts, but we used education level instead because there were few observations with such descriptions—i.e. the median value of the project was determined by two factors: education level (e.g., basic education) and flow type (e.g., grant). To ensure a sufficient sample size to calculate the median, each subsector category (15 subsectors of </w:t>
      </w:r>
      <w:r w:rsidRPr="00F607F2">
        <w:rPr>
          <w:rFonts w:ascii="Arial" w:eastAsia="Arial" w:hAnsi="Arial" w:cs="Arial"/>
          <w:i/>
          <w:iCs/>
          <w:sz w:val="14"/>
          <w:szCs w:val="14"/>
        </w:rPr>
        <w:lastRenderedPageBreak/>
        <w:t>the five-digit code category) was aggregated into the corresponding education phase category (four education levels of the three-digit code category) using the OECD-CRS purpose code definition shown in Table </w:t>
      </w:r>
      <w:hyperlink r:id="rId95" w:anchor="support-information-section" w:history="1">
        <w:r w:rsidRPr="00F607F2">
          <w:rPr>
            <w:rStyle w:val="Hyperlink"/>
            <w:rFonts w:ascii="Arial" w:eastAsia="Arial" w:hAnsi="Arial" w:cs="Arial"/>
            <w:b/>
            <w:bCs/>
            <w:i/>
            <w:iCs/>
            <w:color w:val="auto"/>
            <w:sz w:val="14"/>
            <w:szCs w:val="14"/>
          </w:rPr>
          <w:t>3</w:t>
        </w:r>
      </w:hyperlink>
      <w:r w:rsidRPr="00F607F2">
        <w:rPr>
          <w:rFonts w:ascii="Arial" w:eastAsia="Arial" w:hAnsi="Arial" w:cs="Arial"/>
          <w:i/>
          <w:iCs/>
          <w:sz w:val="14"/>
          <w:szCs w:val="14"/>
        </w:rPr>
        <w:t> of the supplementary material.</w:t>
      </w:r>
    </w:p>
    <w:p w14:paraId="2D33AEDB"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We estimated the median value for each educational level. In the absence of financial data, we calculated the median value for that flow type across the entire sample. For example, because free-standing technical assistance projects in primary education entries lacked financial data, we used the median value of free-standing technical assistance projects regardless of educational phase to impute the financial values of free-standing technical assistance projects in primary education. In total, 25 projects required this change.</w:t>
      </w:r>
    </w:p>
    <w:p w14:paraId="32C7C06E"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For the 11 projects classified as “Other sector,” we used a methodology based on the assumption that the education sector's share of funds allocated within “Other multi-sector funds” was equal to the education sector's share of the total allocatable funds for the sector in general. This share was used to estimate the value of the 11 projects that were reclassified from “other multi-sector” to “education.”</w:t>
      </w:r>
    </w:p>
    <w:p w14:paraId="342E10A2"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We ran a regression analysis to fill in the missing values in the project-level financial data. This method allows us to estimate the project value based on several key factors, including flow type, region, education phase, and intention. However, this method also has significant limitations that may affect the validity of the regression models, such as the skewed distribution of the observed financial data, the small sample size in comparison to the population size, and the limited number of covariates. Although we did not use this method in our main analysis, we did report a comparison of the results of our method with the model by regression in Annex </w:t>
      </w:r>
      <w:hyperlink r:id="rId96" w:anchor="support-information-section" w:history="1">
        <w:r w:rsidRPr="00F607F2">
          <w:rPr>
            <w:rStyle w:val="Hyperlink"/>
            <w:rFonts w:ascii="Arial" w:eastAsia="Arial" w:hAnsi="Arial" w:cs="Arial"/>
            <w:b/>
            <w:bCs/>
            <w:i/>
            <w:iCs/>
            <w:color w:val="auto"/>
            <w:sz w:val="14"/>
            <w:szCs w:val="14"/>
          </w:rPr>
          <w:t>9</w:t>
        </w:r>
      </w:hyperlink>
      <w:r w:rsidRPr="00F607F2">
        <w:rPr>
          <w:rFonts w:ascii="Arial" w:eastAsia="Arial" w:hAnsi="Arial" w:cs="Arial"/>
          <w:i/>
          <w:iCs/>
          <w:sz w:val="14"/>
          <w:szCs w:val="14"/>
        </w:rPr>
        <w:t> of the supplemental material.</w:t>
      </w:r>
    </w:p>
    <w:p w14:paraId="6640D411"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3.7 Comparing China's education aid with aid from other donors</w:t>
      </w:r>
    </w:p>
    <w:p w14:paraId="60147960"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Finally, to compare China's education aid with that of other donors, we used data from the OECD-CRS database to calculate total education aid commitments of the top 10 donors to African countries between 2000 and 2017. The downloaded CRS data were converted to constant 2017 US dollars using the OECD deflator for each donor.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uses the OECD-CRS deflator calculation methodology and excludes regular contributions to multilateral.</w:t>
      </w:r>
    </w:p>
    <w:p w14:paraId="0C81329E" w14:textId="77777777" w:rsidR="00F607F2" w:rsidRPr="00F607F2" w:rsidRDefault="00F607F2" w:rsidP="00F607F2">
      <w:pPr>
        <w:rPr>
          <w:rFonts w:ascii="Arial" w:eastAsia="Arial" w:hAnsi="Arial" w:cs="Arial"/>
          <w:b/>
          <w:bCs/>
          <w:i/>
          <w:iCs/>
          <w:sz w:val="14"/>
          <w:szCs w:val="14"/>
        </w:rPr>
      </w:pPr>
      <w:r w:rsidRPr="00F607F2">
        <w:rPr>
          <w:rFonts w:ascii="Arial" w:eastAsia="Arial" w:hAnsi="Arial" w:cs="Arial"/>
          <w:b/>
          <w:bCs/>
          <w:i/>
          <w:iCs/>
          <w:sz w:val="14"/>
          <w:szCs w:val="14"/>
        </w:rPr>
        <w:t>4 RESULTS</w:t>
      </w:r>
    </w:p>
    <w:p w14:paraId="537F8999"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This section presents the results in three parts. First, China's IEC portfolio is analysed based on the number of projects to determine its priority areas. Second, to account for missing financial data, we estimate China's IEC portfolio based on median project values. Third, the volume of Chinese education ODA is compared to other donors.</w:t>
      </w:r>
    </w:p>
    <w:p w14:paraId="5ECEA73E"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4.1 China's IEC</w:t>
      </w:r>
    </w:p>
    <w:p w14:paraId="38F2EE9C"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According to McDade et al. (</w:t>
      </w:r>
      <w:hyperlink r:id="rId97" w:anchor="dpr12777-bib-0031" w:history="1">
        <w:r w:rsidRPr="00F607F2">
          <w:rPr>
            <w:rStyle w:val="Hyperlink"/>
            <w:rFonts w:ascii="Arial" w:eastAsia="Arial" w:hAnsi="Arial" w:cs="Arial"/>
            <w:b/>
            <w:bCs/>
            <w:i/>
            <w:iCs/>
            <w:color w:val="auto"/>
            <w:sz w:val="14"/>
            <w:szCs w:val="14"/>
          </w:rPr>
          <w:t>2022</w:t>
        </w:r>
      </w:hyperlink>
      <w:r w:rsidRPr="00F607F2">
        <w:rPr>
          <w:rFonts w:ascii="Arial" w:eastAsia="Arial" w:hAnsi="Arial" w:cs="Arial"/>
          <w:i/>
          <w:iCs/>
          <w:sz w:val="14"/>
          <w:szCs w:val="14"/>
        </w:rPr>
        <w:t>), the education sector had the most projects in China's official overseas finance portfolio between 2000 and 2017. China's IEC relied heavily on OOF-like finance, whereas McDade et al. (</w:t>
      </w:r>
      <w:hyperlink r:id="rId98" w:anchor="dpr12777-bib-0031" w:history="1">
        <w:r w:rsidRPr="00F607F2">
          <w:rPr>
            <w:rStyle w:val="Hyperlink"/>
            <w:rFonts w:ascii="Arial" w:eastAsia="Arial" w:hAnsi="Arial" w:cs="Arial"/>
            <w:b/>
            <w:bCs/>
            <w:i/>
            <w:iCs/>
            <w:color w:val="auto"/>
            <w:sz w:val="14"/>
            <w:szCs w:val="14"/>
          </w:rPr>
          <w:t>2022</w:t>
        </w:r>
      </w:hyperlink>
      <w:r w:rsidRPr="00F607F2">
        <w:rPr>
          <w:rFonts w:ascii="Arial" w:eastAsia="Arial" w:hAnsi="Arial" w:cs="Arial"/>
          <w:i/>
          <w:iCs/>
          <w:sz w:val="14"/>
          <w:szCs w:val="14"/>
        </w:rPr>
        <w:t>) limited their analysis to ODA (McDade et al., </w:t>
      </w:r>
      <w:hyperlink r:id="rId99" w:anchor="dpr12777-bib-0031" w:history="1">
        <w:r w:rsidRPr="00F607F2">
          <w:rPr>
            <w:rStyle w:val="Hyperlink"/>
            <w:rFonts w:ascii="Arial" w:eastAsia="Arial" w:hAnsi="Arial" w:cs="Arial"/>
            <w:b/>
            <w:bCs/>
            <w:i/>
            <w:iCs/>
            <w:color w:val="auto"/>
            <w:sz w:val="14"/>
            <w:szCs w:val="14"/>
          </w:rPr>
          <w:t>2022</w:t>
        </w:r>
      </w:hyperlink>
      <w:r w:rsidRPr="00F607F2">
        <w:rPr>
          <w:rFonts w:ascii="Arial" w:eastAsia="Arial" w:hAnsi="Arial" w:cs="Arial"/>
          <w:i/>
          <w:iCs/>
          <w:sz w:val="14"/>
          <w:szCs w:val="14"/>
        </w:rPr>
        <w:t>).</w:t>
      </w:r>
    </w:p>
    <w:p w14:paraId="5AB89E87"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4.2 China's education co-operation portfolio by project count</w:t>
      </w:r>
    </w:p>
    <w:p w14:paraId="77A6824C"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Our findings show a significant increase in IEC projects over time, as depicted in Figure </w:t>
      </w:r>
      <w:hyperlink r:id="rId100" w:anchor="dpr12777-fig-0002" w:history="1">
        <w:r w:rsidRPr="00F607F2">
          <w:rPr>
            <w:rStyle w:val="Hyperlink"/>
            <w:rFonts w:ascii="Arial" w:eastAsia="Arial" w:hAnsi="Arial" w:cs="Arial"/>
            <w:b/>
            <w:bCs/>
            <w:i/>
            <w:iCs/>
            <w:color w:val="auto"/>
            <w:sz w:val="14"/>
            <w:szCs w:val="14"/>
          </w:rPr>
          <w:t>2</w:t>
        </w:r>
      </w:hyperlink>
      <w:r w:rsidRPr="00F607F2">
        <w:rPr>
          <w:rFonts w:ascii="Arial" w:eastAsia="Arial" w:hAnsi="Arial" w:cs="Arial"/>
          <w:i/>
          <w:iCs/>
          <w:sz w:val="14"/>
          <w:szCs w:val="14"/>
        </w:rPr>
        <w:t>. Specifically, China's IEC projects increased significantly from 2006 onwards, accounting for more than 90% of all education projects completed in or after that year. These projects were primarily grants, accounting for 70% of the total, followed by scholarships or training programmes conducted in China, which accounted for 22%. Although loans have a higher financial value than grants or scholarships, they represent only a tiny fraction of the overall project portfolio, making up 2.6% of the total projects. Free-standing technical assistance in China represented 3.3% of all projects. Chinese government agencies funded most of the education projects, accounting for 89% (n = 1,350), while state-owned companies financed a portion of the projects (n = 84, 5.6%) and state-owned policy banks contributed to a lesser extent (n = 52,3.4%).</w:t>
      </w:r>
    </w:p>
    <w:p w14:paraId="49E194F8" w14:textId="081DBCD3" w:rsidR="00F607F2" w:rsidRPr="00F607F2" w:rsidRDefault="00F607F2" w:rsidP="00F607F2">
      <w:pPr>
        <w:rPr>
          <w:rFonts w:ascii="Arial" w:eastAsia="Arial" w:hAnsi="Arial" w:cs="Arial"/>
          <w:i/>
          <w:iCs/>
          <w:sz w:val="14"/>
          <w:szCs w:val="14"/>
        </w:rPr>
      </w:pPr>
      <w:r w:rsidRPr="00F607F2">
        <w:rPr>
          <w:rFonts w:ascii="Arial" w:eastAsia="Arial" w:hAnsi="Arial" w:cs="Arial"/>
          <w:b/>
          <w:bCs/>
          <w:i/>
          <w:iCs/>
          <w:sz w:val="14"/>
          <w:szCs w:val="14"/>
        </w:rPr>
        <mc:AlternateContent>
          <mc:Choice Requires="wps">
            <w:drawing>
              <wp:inline distT="0" distB="0" distL="0" distR="0" wp14:anchorId="1A1D0504" wp14:editId="2076C985">
                <wp:extent cx="304800" cy="304800"/>
                <wp:effectExtent l="0" t="0" r="0" b="0"/>
                <wp:docPr id="1914009624" name="Rectangle 18" descr="Details are in the caption following the image">
                  <a:hlinkClick xmlns:a="http://schemas.openxmlformats.org/drawingml/2006/main" r:id="rId10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33479" id="Rectangle 18" o:spid="_x0000_s1026" alt="Details are in the caption following the image" href="https://onlinelibrary.wiley.com/cms/asset/248809f4-c64c-4a40-895b-4cb260289e58/dpr12777-fig-0002-m.jp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E1CD591" w14:textId="77777777" w:rsidR="00F607F2" w:rsidRPr="00F607F2" w:rsidRDefault="00F607F2" w:rsidP="00F607F2">
      <w:pPr>
        <w:rPr>
          <w:rFonts w:ascii="Arial" w:eastAsia="Arial" w:hAnsi="Arial" w:cs="Arial"/>
          <w:i/>
          <w:iCs/>
          <w:sz w:val="14"/>
          <w:szCs w:val="14"/>
        </w:rPr>
      </w:pPr>
      <w:r w:rsidRPr="00F607F2">
        <w:rPr>
          <w:rFonts w:ascii="Arial" w:eastAsia="Arial" w:hAnsi="Arial" w:cs="Arial"/>
          <w:b/>
          <w:bCs/>
          <w:i/>
          <w:iCs/>
          <w:sz w:val="14"/>
          <w:szCs w:val="14"/>
        </w:rPr>
        <w:t>FIGURE 2</w:t>
      </w:r>
    </w:p>
    <w:p w14:paraId="633A15F5" w14:textId="77777777" w:rsidR="00F607F2" w:rsidRPr="00F607F2" w:rsidRDefault="00F607F2" w:rsidP="00F607F2">
      <w:pPr>
        <w:rPr>
          <w:rFonts w:ascii="Arial" w:eastAsia="Arial" w:hAnsi="Arial" w:cs="Arial"/>
          <w:i/>
          <w:iCs/>
          <w:sz w:val="14"/>
          <w:szCs w:val="14"/>
        </w:rPr>
      </w:pPr>
      <w:hyperlink r:id="rId102" w:history="1">
        <w:r w:rsidRPr="00F607F2">
          <w:rPr>
            <w:rStyle w:val="Hyperlink"/>
            <w:rFonts w:ascii="Arial" w:eastAsia="Arial" w:hAnsi="Arial" w:cs="Arial"/>
            <w:b/>
            <w:bCs/>
            <w:i/>
            <w:iCs/>
            <w:color w:val="auto"/>
            <w:sz w:val="14"/>
            <w:szCs w:val="14"/>
          </w:rPr>
          <w:t xml:space="preserve">Open in figure </w:t>
        </w:r>
        <w:proofErr w:type="spellStart"/>
        <w:r w:rsidRPr="00F607F2">
          <w:rPr>
            <w:rStyle w:val="Hyperlink"/>
            <w:rFonts w:ascii="Arial" w:eastAsia="Arial" w:hAnsi="Arial" w:cs="Arial"/>
            <w:b/>
            <w:bCs/>
            <w:i/>
            <w:iCs/>
            <w:color w:val="auto"/>
            <w:sz w:val="14"/>
            <w:szCs w:val="14"/>
          </w:rPr>
          <w:t>viewer</w:t>
        </w:r>
      </w:hyperlink>
      <w:hyperlink r:id="rId103" w:history="1">
        <w:r w:rsidRPr="00F607F2">
          <w:rPr>
            <w:rStyle w:val="Hyperlink"/>
            <w:rFonts w:ascii="Arial" w:eastAsia="Arial" w:hAnsi="Arial" w:cs="Arial"/>
            <w:b/>
            <w:bCs/>
            <w:i/>
            <w:iCs/>
            <w:color w:val="auto"/>
            <w:sz w:val="14"/>
            <w:szCs w:val="14"/>
          </w:rPr>
          <w:t>PowerPoint</w:t>
        </w:r>
        <w:proofErr w:type="spellEnd"/>
      </w:hyperlink>
    </w:p>
    <w:p w14:paraId="466942A0"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China's education sector overseas official finance flow by year (2000–2017), ranked by IEC project count.</w:t>
      </w:r>
    </w:p>
    <w:p w14:paraId="4F2DE02C"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Source: Adapted and expanded from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2.0 by authors.</w:t>
      </w:r>
    </w:p>
    <w:p w14:paraId="2DFDCEFA"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Looking at the educational stages targeted by the projects, as shown in Figure </w:t>
      </w:r>
      <w:hyperlink r:id="rId104" w:anchor="dpr12777-fig-0003" w:history="1">
        <w:r w:rsidRPr="00F607F2">
          <w:rPr>
            <w:rStyle w:val="Hyperlink"/>
            <w:rFonts w:ascii="Arial" w:eastAsia="Arial" w:hAnsi="Arial" w:cs="Arial"/>
            <w:b/>
            <w:bCs/>
            <w:i/>
            <w:iCs/>
            <w:color w:val="auto"/>
            <w:sz w:val="14"/>
            <w:szCs w:val="14"/>
          </w:rPr>
          <w:t>3</w:t>
        </w:r>
      </w:hyperlink>
      <w:r w:rsidRPr="00F607F2">
        <w:rPr>
          <w:rFonts w:ascii="Arial" w:eastAsia="Arial" w:hAnsi="Arial" w:cs="Arial"/>
          <w:i/>
          <w:iCs/>
          <w:sz w:val="14"/>
          <w:szCs w:val="14"/>
        </w:rPr>
        <w:t>, more than half (52% of all projects) were aimed at post-secondary education. This was followed by projects of an unspecified level (18%) and those centred on basic education (19%). The least common target was secondary education, accounting for 11% of projects aimed at this stage. We examined China's IEC targets in greater detail, breaking down the education stages into subsectors. Most projects (51%) focused on the higher education subsector. This was followed by education facilities and training (16%) and primary education (15%). Although considered a key area of focus, vocational training represented only a tiny proportion of all projects, at 3%.</w:t>
      </w:r>
    </w:p>
    <w:p w14:paraId="7CFA223C" w14:textId="173FC048" w:rsidR="00F607F2" w:rsidRPr="00F607F2" w:rsidRDefault="00F607F2" w:rsidP="00F607F2">
      <w:pPr>
        <w:rPr>
          <w:rFonts w:ascii="Arial" w:eastAsia="Arial" w:hAnsi="Arial" w:cs="Arial"/>
          <w:i/>
          <w:iCs/>
          <w:sz w:val="14"/>
          <w:szCs w:val="14"/>
        </w:rPr>
      </w:pPr>
      <w:r w:rsidRPr="00F607F2">
        <w:rPr>
          <w:rFonts w:ascii="Arial" w:eastAsia="Arial" w:hAnsi="Arial" w:cs="Arial"/>
          <w:b/>
          <w:bCs/>
          <w:i/>
          <w:iCs/>
          <w:sz w:val="14"/>
          <w:szCs w:val="14"/>
        </w:rPr>
        <mc:AlternateContent>
          <mc:Choice Requires="wps">
            <w:drawing>
              <wp:inline distT="0" distB="0" distL="0" distR="0" wp14:anchorId="66562379" wp14:editId="10BF5580">
                <wp:extent cx="304800" cy="304800"/>
                <wp:effectExtent l="0" t="0" r="0" b="0"/>
                <wp:docPr id="1969193038" name="Rectangle 17" descr="Details are in the caption following the image">
                  <a:hlinkClick xmlns:a="http://schemas.openxmlformats.org/drawingml/2006/main" r:id="rId10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C4C8B9" id="Rectangle 17" o:spid="_x0000_s1026" alt="Details are in the caption following the image" href="https://onlinelibrary.wiley.com/cms/asset/17d2abdb-5c8e-4ce0-a8fc-b82dc5f5196c/dpr12777-fig-0003-m.jp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3005AB3" w14:textId="77777777" w:rsidR="00F607F2" w:rsidRPr="00F607F2" w:rsidRDefault="00F607F2" w:rsidP="00F607F2">
      <w:pPr>
        <w:rPr>
          <w:rFonts w:ascii="Arial" w:eastAsia="Arial" w:hAnsi="Arial" w:cs="Arial"/>
          <w:i/>
          <w:iCs/>
          <w:sz w:val="14"/>
          <w:szCs w:val="14"/>
        </w:rPr>
      </w:pPr>
      <w:r w:rsidRPr="00F607F2">
        <w:rPr>
          <w:rFonts w:ascii="Arial" w:eastAsia="Arial" w:hAnsi="Arial" w:cs="Arial"/>
          <w:b/>
          <w:bCs/>
          <w:i/>
          <w:iCs/>
          <w:sz w:val="14"/>
          <w:szCs w:val="14"/>
        </w:rPr>
        <w:t>FIGURE 3</w:t>
      </w:r>
    </w:p>
    <w:p w14:paraId="5FA44517" w14:textId="77777777" w:rsidR="00F607F2" w:rsidRPr="00F607F2" w:rsidRDefault="00F607F2" w:rsidP="00F607F2">
      <w:pPr>
        <w:rPr>
          <w:rFonts w:ascii="Arial" w:eastAsia="Arial" w:hAnsi="Arial" w:cs="Arial"/>
          <w:i/>
          <w:iCs/>
          <w:sz w:val="14"/>
          <w:szCs w:val="14"/>
        </w:rPr>
      </w:pPr>
      <w:hyperlink r:id="rId106" w:history="1">
        <w:r w:rsidRPr="00F607F2">
          <w:rPr>
            <w:rStyle w:val="Hyperlink"/>
            <w:rFonts w:ascii="Arial" w:eastAsia="Arial" w:hAnsi="Arial" w:cs="Arial"/>
            <w:b/>
            <w:bCs/>
            <w:i/>
            <w:iCs/>
            <w:color w:val="auto"/>
            <w:sz w:val="14"/>
            <w:szCs w:val="14"/>
          </w:rPr>
          <w:t xml:space="preserve">Open in figure </w:t>
        </w:r>
        <w:proofErr w:type="spellStart"/>
        <w:r w:rsidRPr="00F607F2">
          <w:rPr>
            <w:rStyle w:val="Hyperlink"/>
            <w:rFonts w:ascii="Arial" w:eastAsia="Arial" w:hAnsi="Arial" w:cs="Arial"/>
            <w:b/>
            <w:bCs/>
            <w:i/>
            <w:iCs/>
            <w:color w:val="auto"/>
            <w:sz w:val="14"/>
            <w:szCs w:val="14"/>
          </w:rPr>
          <w:t>viewer</w:t>
        </w:r>
      </w:hyperlink>
      <w:hyperlink r:id="rId107" w:history="1">
        <w:r w:rsidRPr="00F607F2">
          <w:rPr>
            <w:rStyle w:val="Hyperlink"/>
            <w:rFonts w:ascii="Arial" w:eastAsia="Arial" w:hAnsi="Arial" w:cs="Arial"/>
            <w:b/>
            <w:bCs/>
            <w:i/>
            <w:iCs/>
            <w:color w:val="auto"/>
            <w:sz w:val="14"/>
            <w:szCs w:val="14"/>
          </w:rPr>
          <w:t>PowerPoint</w:t>
        </w:r>
        <w:proofErr w:type="spellEnd"/>
      </w:hyperlink>
    </w:p>
    <w:p w14:paraId="3BFB68CF"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IEC distribution in project number 2000–2017.</w:t>
      </w:r>
    </w:p>
    <w:p w14:paraId="36F0A4CB"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Source: Adapted and expanded from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2.0 by authors.</w:t>
      </w:r>
    </w:p>
    <w:p w14:paraId="48EEC02F"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lastRenderedPageBreak/>
        <w:t>When examining the geographic distribution of projects, nearly half (47%) were in Africa. This was followed by Asia (24%) and the Americas (13%). The top recipients were mostly African countries, but Asian countries were also well represented. Mongolia had the most education projects, followed by Malawi, an African country that switched its diplomatic ties from Taiwan to China in 2007.</w:t>
      </w:r>
    </w:p>
    <w:p w14:paraId="0A4FAD02"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4.3 Financial estimates of China's education co-operation portfolio</w:t>
      </w:r>
    </w:p>
    <w:p w14:paraId="2DACE8B7"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China has been an IEC provider for decades, but its IEC scale remained insignificant, at less than USD 150 million until the early 2000s, as illustrated in Figure </w:t>
      </w:r>
      <w:hyperlink r:id="rId108" w:anchor="dpr12777-fig-0004" w:history="1">
        <w:r w:rsidRPr="00F607F2">
          <w:rPr>
            <w:rStyle w:val="Hyperlink"/>
            <w:rFonts w:ascii="Arial" w:eastAsia="Arial" w:hAnsi="Arial" w:cs="Arial"/>
            <w:b/>
            <w:bCs/>
            <w:i/>
            <w:iCs/>
            <w:color w:val="auto"/>
            <w:sz w:val="14"/>
            <w:szCs w:val="14"/>
          </w:rPr>
          <w:t>4</w:t>
        </w:r>
      </w:hyperlink>
      <w:r w:rsidRPr="00F607F2">
        <w:rPr>
          <w:rFonts w:ascii="Arial" w:eastAsia="Arial" w:hAnsi="Arial" w:cs="Arial"/>
          <w:i/>
          <w:iCs/>
          <w:sz w:val="14"/>
          <w:szCs w:val="14"/>
        </w:rPr>
        <w:t>. China unexpectedly increased its IEC in 2005, when it committed significant amounts of export buyer credit projects to Angola, which is also the main recipient of China's development finance across sectors and is an oil exporter to China. Following a significant drop in IEC finance commitments in 2008 and continued sluggishness in 2009, IEC increased and maintained the scale above USD 250 million. China maintained its position as a significant IEC provider despite some volatility. China's IEC is primarily funded by grants, accounting for 44% (USD 2,840 million). However, the combined loan and export buyer's credit account for more than half of the total amount (USD 3,248 million, 51%). These schemes have a significant impact on the trend of the amount by country and year, as the average project cost exceeds USD 50 million.</w:t>
      </w:r>
    </w:p>
    <w:p w14:paraId="5D6876CA" w14:textId="68D2502C" w:rsidR="00F607F2" w:rsidRPr="00F607F2" w:rsidRDefault="00F607F2" w:rsidP="00F607F2">
      <w:pPr>
        <w:rPr>
          <w:rFonts w:ascii="Arial" w:eastAsia="Arial" w:hAnsi="Arial" w:cs="Arial"/>
          <w:i/>
          <w:iCs/>
          <w:sz w:val="14"/>
          <w:szCs w:val="14"/>
        </w:rPr>
      </w:pPr>
      <w:r w:rsidRPr="00F607F2">
        <w:rPr>
          <w:rFonts w:ascii="Arial" w:eastAsia="Arial" w:hAnsi="Arial" w:cs="Arial"/>
          <w:b/>
          <w:bCs/>
          <w:i/>
          <w:iCs/>
          <w:sz w:val="14"/>
          <w:szCs w:val="14"/>
        </w:rPr>
        <mc:AlternateContent>
          <mc:Choice Requires="wps">
            <w:drawing>
              <wp:inline distT="0" distB="0" distL="0" distR="0" wp14:anchorId="119BBB91" wp14:editId="6391BB7B">
                <wp:extent cx="304800" cy="304800"/>
                <wp:effectExtent l="0" t="0" r="0" b="0"/>
                <wp:docPr id="1078956956" name="Rectangle 16" descr="Details are in the caption following the image">
                  <a:hlinkClick xmlns:a="http://schemas.openxmlformats.org/drawingml/2006/main" r:id="rId10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A79DC6" id="Rectangle 16" o:spid="_x0000_s1026" alt="Details are in the caption following the image" href="https://onlinelibrary.wiley.com/cms/asset/724180b4-41d8-47c9-85b4-d740dc13d202/dpr12777-fig-0004-m.jp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BA21A13" w14:textId="77777777" w:rsidR="00F607F2" w:rsidRPr="00F607F2" w:rsidRDefault="00F607F2" w:rsidP="00F607F2">
      <w:pPr>
        <w:rPr>
          <w:rFonts w:ascii="Arial" w:eastAsia="Arial" w:hAnsi="Arial" w:cs="Arial"/>
          <w:i/>
          <w:iCs/>
          <w:sz w:val="14"/>
          <w:szCs w:val="14"/>
        </w:rPr>
      </w:pPr>
      <w:r w:rsidRPr="00F607F2">
        <w:rPr>
          <w:rFonts w:ascii="Arial" w:eastAsia="Arial" w:hAnsi="Arial" w:cs="Arial"/>
          <w:b/>
          <w:bCs/>
          <w:i/>
          <w:iCs/>
          <w:sz w:val="14"/>
          <w:szCs w:val="14"/>
        </w:rPr>
        <w:t>FIGURE 4</w:t>
      </w:r>
    </w:p>
    <w:p w14:paraId="64CEF396" w14:textId="77777777" w:rsidR="00F607F2" w:rsidRPr="00F607F2" w:rsidRDefault="00F607F2" w:rsidP="00F607F2">
      <w:pPr>
        <w:rPr>
          <w:rFonts w:ascii="Arial" w:eastAsia="Arial" w:hAnsi="Arial" w:cs="Arial"/>
          <w:i/>
          <w:iCs/>
          <w:sz w:val="14"/>
          <w:szCs w:val="14"/>
        </w:rPr>
      </w:pPr>
      <w:hyperlink r:id="rId110" w:history="1">
        <w:r w:rsidRPr="00F607F2">
          <w:rPr>
            <w:rStyle w:val="Hyperlink"/>
            <w:rFonts w:ascii="Arial" w:eastAsia="Arial" w:hAnsi="Arial" w:cs="Arial"/>
            <w:b/>
            <w:bCs/>
            <w:i/>
            <w:iCs/>
            <w:color w:val="auto"/>
            <w:sz w:val="14"/>
            <w:szCs w:val="14"/>
          </w:rPr>
          <w:t xml:space="preserve">Open in figure </w:t>
        </w:r>
        <w:proofErr w:type="spellStart"/>
        <w:r w:rsidRPr="00F607F2">
          <w:rPr>
            <w:rStyle w:val="Hyperlink"/>
            <w:rFonts w:ascii="Arial" w:eastAsia="Arial" w:hAnsi="Arial" w:cs="Arial"/>
            <w:b/>
            <w:bCs/>
            <w:i/>
            <w:iCs/>
            <w:color w:val="auto"/>
            <w:sz w:val="14"/>
            <w:szCs w:val="14"/>
          </w:rPr>
          <w:t>viewer</w:t>
        </w:r>
      </w:hyperlink>
      <w:hyperlink r:id="rId111" w:history="1">
        <w:r w:rsidRPr="00F607F2">
          <w:rPr>
            <w:rStyle w:val="Hyperlink"/>
            <w:rFonts w:ascii="Arial" w:eastAsia="Arial" w:hAnsi="Arial" w:cs="Arial"/>
            <w:b/>
            <w:bCs/>
            <w:i/>
            <w:iCs/>
            <w:color w:val="auto"/>
            <w:sz w:val="14"/>
            <w:szCs w:val="14"/>
          </w:rPr>
          <w:t>PowerPoint</w:t>
        </w:r>
        <w:proofErr w:type="spellEnd"/>
      </w:hyperlink>
    </w:p>
    <w:p w14:paraId="7263B388"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Chinese international education co-operation financial estimates (2000–2017), in constant 2017 million US dollars.</w:t>
      </w:r>
    </w:p>
    <w:p w14:paraId="75EB53C7"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Source: Adapted and expanded from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2.0 by authors.</w:t>
      </w:r>
    </w:p>
    <w:p w14:paraId="5FF9DE5F"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China's IEC from 2000 to 2017 amounted to USD 6,382 million, while China's investment in the Global South, which was classified as the “education” sector by the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2.0 dataset, was only USD 4,880 million due to numerous missing values in monetary amounts and </w:t>
      </w:r>
      <w:proofErr w:type="spellStart"/>
      <w:r w:rsidRPr="00F607F2">
        <w:rPr>
          <w:rFonts w:ascii="Arial" w:eastAsia="Arial" w:hAnsi="Arial" w:cs="Arial"/>
          <w:i/>
          <w:iCs/>
          <w:sz w:val="14"/>
          <w:szCs w:val="14"/>
        </w:rPr>
        <w:t>miscategorization</w:t>
      </w:r>
      <w:proofErr w:type="spellEnd"/>
      <w:r w:rsidRPr="00F607F2">
        <w:rPr>
          <w:rFonts w:ascii="Arial" w:eastAsia="Arial" w:hAnsi="Arial" w:cs="Arial"/>
          <w:i/>
          <w:iCs/>
          <w:sz w:val="14"/>
          <w:szCs w:val="14"/>
        </w:rPr>
        <w:t>. Annex </w:t>
      </w:r>
      <w:hyperlink r:id="rId112" w:anchor="support-information-section" w:history="1">
        <w:r w:rsidRPr="00F607F2">
          <w:rPr>
            <w:rStyle w:val="Hyperlink"/>
            <w:rFonts w:ascii="Arial" w:eastAsia="Arial" w:hAnsi="Arial" w:cs="Arial"/>
            <w:b/>
            <w:bCs/>
            <w:i/>
            <w:iCs/>
            <w:color w:val="auto"/>
            <w:sz w:val="14"/>
            <w:szCs w:val="14"/>
          </w:rPr>
          <w:t>10</w:t>
        </w:r>
      </w:hyperlink>
      <w:r w:rsidRPr="00F607F2">
        <w:rPr>
          <w:rFonts w:ascii="Arial" w:eastAsia="Arial" w:hAnsi="Arial" w:cs="Arial"/>
          <w:i/>
          <w:iCs/>
          <w:sz w:val="14"/>
          <w:szCs w:val="14"/>
        </w:rPr>
        <w:t xml:space="preserve"> of the supplementary material provides a detailed comparison of China's IEC financial volume between the estimate of this study and the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2.0 dataset by commitment year.</w:t>
      </w:r>
    </w:p>
    <w:p w14:paraId="0FD4BDB4"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As shown in Figure </w:t>
      </w:r>
      <w:hyperlink r:id="rId113" w:anchor="dpr12777-fig-0005" w:history="1">
        <w:r w:rsidRPr="00F607F2">
          <w:rPr>
            <w:rStyle w:val="Hyperlink"/>
            <w:rFonts w:ascii="Arial" w:eastAsia="Arial" w:hAnsi="Arial" w:cs="Arial"/>
            <w:b/>
            <w:bCs/>
            <w:i/>
            <w:iCs/>
            <w:color w:val="auto"/>
            <w:sz w:val="14"/>
            <w:szCs w:val="14"/>
          </w:rPr>
          <w:t>5</w:t>
        </w:r>
      </w:hyperlink>
      <w:r w:rsidRPr="00F607F2">
        <w:rPr>
          <w:rFonts w:ascii="Arial" w:eastAsia="Arial" w:hAnsi="Arial" w:cs="Arial"/>
          <w:i/>
          <w:iCs/>
          <w:sz w:val="14"/>
          <w:szCs w:val="14"/>
        </w:rPr>
        <w:t>, OOF-like financing accounts for a significant portion of China's IEC, as does ODA-like financing. China's IEC is highly concessional, but the proportion of ODA-like is relatively low. According to McDade et al. (</w:t>
      </w:r>
      <w:hyperlink r:id="rId114" w:anchor="dpr12777-bib-0031" w:history="1">
        <w:r w:rsidRPr="00F607F2">
          <w:rPr>
            <w:rStyle w:val="Hyperlink"/>
            <w:rFonts w:ascii="Arial" w:eastAsia="Arial" w:hAnsi="Arial" w:cs="Arial"/>
            <w:b/>
            <w:bCs/>
            <w:i/>
            <w:iCs/>
            <w:color w:val="auto"/>
            <w:sz w:val="14"/>
            <w:szCs w:val="14"/>
          </w:rPr>
          <w:t>2022</w:t>
        </w:r>
      </w:hyperlink>
      <w:r w:rsidRPr="00F607F2">
        <w:rPr>
          <w:rFonts w:ascii="Arial" w:eastAsia="Arial" w:hAnsi="Arial" w:cs="Arial"/>
          <w:i/>
          <w:iCs/>
          <w:sz w:val="14"/>
          <w:szCs w:val="14"/>
        </w:rPr>
        <w:t xml:space="preserve">), the vast majority of China's health sector co-operation finance is ODA-like. According to our estimated financial amount, ODA-like accounts for only about half of IEC. However, China's IEC is generally concessional, with only some non-concessional lending in Angola and other countries, with approximately 80% of the overall projects provided as concessional funding. The high proportion of OOF-like financing in China's IEC can be attributed to its purpose. Given that only projects with purely developmental goals are classified as ODA-like, </w:t>
      </w:r>
      <w:proofErr w:type="gramStart"/>
      <w:r w:rsidRPr="00F607F2">
        <w:rPr>
          <w:rFonts w:ascii="Arial" w:eastAsia="Arial" w:hAnsi="Arial" w:cs="Arial"/>
          <w:i/>
          <w:iCs/>
          <w:sz w:val="14"/>
          <w:szCs w:val="14"/>
        </w:rPr>
        <w:t>a number of</w:t>
      </w:r>
      <w:proofErr w:type="gramEnd"/>
      <w:r w:rsidRPr="00F607F2">
        <w:rPr>
          <w:rFonts w:ascii="Arial" w:eastAsia="Arial" w:hAnsi="Arial" w:cs="Arial"/>
          <w:i/>
          <w:iCs/>
          <w:sz w:val="14"/>
          <w:szCs w:val="14"/>
        </w:rPr>
        <w:t xml:space="preserve"> China's IEC projects qualify as OOF-like finance due to their representational purposes. The total number of projects primarily developed to meet the requirements of ODA-like finance represents only 54% of the total. Since 2005, IEC based on mixed or representational intentions has increased significantly. According to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CIs/CCs are classified as co-operation based on representational intentions, and years with a high level of co-operation based on representational intentions were associated with a high number of Confucius Institute-related projects.</w:t>
      </w:r>
    </w:p>
    <w:p w14:paraId="6F7E5809" w14:textId="36896ECA" w:rsidR="00F607F2" w:rsidRPr="00F607F2" w:rsidRDefault="00F607F2" w:rsidP="00F607F2">
      <w:pPr>
        <w:rPr>
          <w:rFonts w:ascii="Arial" w:eastAsia="Arial" w:hAnsi="Arial" w:cs="Arial"/>
          <w:i/>
          <w:iCs/>
          <w:sz w:val="14"/>
          <w:szCs w:val="14"/>
        </w:rPr>
      </w:pPr>
      <w:r w:rsidRPr="00F607F2">
        <w:rPr>
          <w:rFonts w:ascii="Arial" w:eastAsia="Arial" w:hAnsi="Arial" w:cs="Arial"/>
          <w:b/>
          <w:bCs/>
          <w:i/>
          <w:iCs/>
          <w:sz w:val="14"/>
          <w:szCs w:val="14"/>
        </w:rPr>
        <mc:AlternateContent>
          <mc:Choice Requires="wps">
            <w:drawing>
              <wp:inline distT="0" distB="0" distL="0" distR="0" wp14:anchorId="1E775EA7" wp14:editId="03718F0C">
                <wp:extent cx="304800" cy="304800"/>
                <wp:effectExtent l="0" t="0" r="0" b="0"/>
                <wp:docPr id="1277046389" name="Rectangle 15" descr="Details are in the caption following the image">
                  <a:hlinkClick xmlns:a="http://schemas.openxmlformats.org/drawingml/2006/main" r:id="rId11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AEC6E0" id="Rectangle 15" o:spid="_x0000_s1026" alt="Details are in the caption following the image" href="https://onlinelibrary.wiley.com/cms/asset/65aa4032-bb7b-4aef-8b61-f29cb7bcf77c/dpr12777-fig-0005-m.jp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D045392" w14:textId="77777777" w:rsidR="00F607F2" w:rsidRPr="00F607F2" w:rsidRDefault="00F607F2" w:rsidP="00F607F2">
      <w:pPr>
        <w:rPr>
          <w:rFonts w:ascii="Arial" w:eastAsia="Arial" w:hAnsi="Arial" w:cs="Arial"/>
          <w:i/>
          <w:iCs/>
          <w:sz w:val="14"/>
          <w:szCs w:val="14"/>
        </w:rPr>
      </w:pPr>
      <w:r w:rsidRPr="00F607F2">
        <w:rPr>
          <w:rFonts w:ascii="Arial" w:eastAsia="Arial" w:hAnsi="Arial" w:cs="Arial"/>
          <w:b/>
          <w:bCs/>
          <w:i/>
          <w:iCs/>
          <w:sz w:val="14"/>
          <w:szCs w:val="14"/>
        </w:rPr>
        <w:t>FIGURE 5</w:t>
      </w:r>
    </w:p>
    <w:p w14:paraId="0A06DD16" w14:textId="77777777" w:rsidR="00F607F2" w:rsidRPr="00F607F2" w:rsidRDefault="00F607F2" w:rsidP="00F607F2">
      <w:pPr>
        <w:rPr>
          <w:rFonts w:ascii="Arial" w:eastAsia="Arial" w:hAnsi="Arial" w:cs="Arial"/>
          <w:i/>
          <w:iCs/>
          <w:sz w:val="14"/>
          <w:szCs w:val="14"/>
        </w:rPr>
      </w:pPr>
      <w:hyperlink r:id="rId116" w:history="1">
        <w:r w:rsidRPr="00F607F2">
          <w:rPr>
            <w:rStyle w:val="Hyperlink"/>
            <w:rFonts w:ascii="Arial" w:eastAsia="Arial" w:hAnsi="Arial" w:cs="Arial"/>
            <w:b/>
            <w:bCs/>
            <w:i/>
            <w:iCs/>
            <w:color w:val="auto"/>
            <w:sz w:val="14"/>
            <w:szCs w:val="14"/>
          </w:rPr>
          <w:t xml:space="preserve">Open in figure </w:t>
        </w:r>
        <w:proofErr w:type="spellStart"/>
        <w:r w:rsidRPr="00F607F2">
          <w:rPr>
            <w:rStyle w:val="Hyperlink"/>
            <w:rFonts w:ascii="Arial" w:eastAsia="Arial" w:hAnsi="Arial" w:cs="Arial"/>
            <w:b/>
            <w:bCs/>
            <w:i/>
            <w:iCs/>
            <w:color w:val="auto"/>
            <w:sz w:val="14"/>
            <w:szCs w:val="14"/>
          </w:rPr>
          <w:t>viewer</w:t>
        </w:r>
      </w:hyperlink>
      <w:hyperlink r:id="rId117" w:history="1">
        <w:r w:rsidRPr="00F607F2">
          <w:rPr>
            <w:rStyle w:val="Hyperlink"/>
            <w:rFonts w:ascii="Arial" w:eastAsia="Arial" w:hAnsi="Arial" w:cs="Arial"/>
            <w:b/>
            <w:bCs/>
            <w:i/>
            <w:iCs/>
            <w:color w:val="auto"/>
            <w:sz w:val="14"/>
            <w:szCs w:val="14"/>
          </w:rPr>
          <w:t>PowerPoint</w:t>
        </w:r>
        <w:proofErr w:type="spellEnd"/>
      </w:hyperlink>
    </w:p>
    <w:p w14:paraId="445C4EB0"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Volume of IEC, 2000–2017.</w:t>
      </w:r>
    </w:p>
    <w:p w14:paraId="24438A89"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Source: Adapted and expanded from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2.0 by authors.</w:t>
      </w:r>
    </w:p>
    <w:p w14:paraId="4E266004"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As shown in Figure </w:t>
      </w:r>
      <w:hyperlink r:id="rId118" w:anchor="dpr12777-fig-0006" w:history="1">
        <w:r w:rsidRPr="00F607F2">
          <w:rPr>
            <w:rStyle w:val="Hyperlink"/>
            <w:rFonts w:ascii="Arial" w:eastAsia="Arial" w:hAnsi="Arial" w:cs="Arial"/>
            <w:b/>
            <w:bCs/>
            <w:i/>
            <w:iCs/>
            <w:color w:val="auto"/>
            <w:sz w:val="14"/>
            <w:szCs w:val="14"/>
          </w:rPr>
          <w:t>6</w:t>
        </w:r>
      </w:hyperlink>
      <w:r w:rsidRPr="00F607F2">
        <w:rPr>
          <w:rFonts w:ascii="Arial" w:eastAsia="Arial" w:hAnsi="Arial" w:cs="Arial"/>
          <w:i/>
          <w:iCs/>
          <w:sz w:val="14"/>
          <w:szCs w:val="14"/>
        </w:rPr>
        <w:t>, regarding educational stages, post-secondary education is the primary focus of China's IEC, accounting for 43% of total funding (USD 2,699 million over 18 years). Unspecified level follows closely behind at 31% of total funding (USD 1,978 million). Secondary education accounts for 18% of total funding, and its importance has grown over time. Despite the MDGs' focus on universal primary education, China did not make significant investments in the basic education subsector. Hence, China's education-focused strategy differed from the international trend. Since 2009, there has been consistent investment in secondary education. Regarding subsectors, higher education (42%) and education facilities and training (30%) are the most funded. Interestingly, vocational training receives a higher percentage of funding (10%) than the number of projects, surpassing upper secondary education (7%) and primary education (7%).</w:t>
      </w:r>
    </w:p>
    <w:p w14:paraId="313E66C6" w14:textId="58BF821E" w:rsidR="00F607F2" w:rsidRPr="00F607F2" w:rsidRDefault="00F607F2" w:rsidP="00F607F2">
      <w:pPr>
        <w:rPr>
          <w:rFonts w:ascii="Arial" w:eastAsia="Arial" w:hAnsi="Arial" w:cs="Arial"/>
          <w:i/>
          <w:iCs/>
          <w:sz w:val="14"/>
          <w:szCs w:val="14"/>
        </w:rPr>
      </w:pPr>
      <w:r w:rsidRPr="00F607F2">
        <w:rPr>
          <w:rFonts w:ascii="Arial" w:eastAsia="Arial" w:hAnsi="Arial" w:cs="Arial"/>
          <w:b/>
          <w:bCs/>
          <w:i/>
          <w:iCs/>
          <w:sz w:val="14"/>
          <w:szCs w:val="14"/>
        </w:rPr>
        <mc:AlternateContent>
          <mc:Choice Requires="wps">
            <w:drawing>
              <wp:inline distT="0" distB="0" distL="0" distR="0" wp14:anchorId="6476F040" wp14:editId="4EC438AF">
                <wp:extent cx="304800" cy="304800"/>
                <wp:effectExtent l="0" t="0" r="0" b="0"/>
                <wp:docPr id="51946738" name="Rectangle 14" descr="Details are in the caption following the image">
                  <a:hlinkClick xmlns:a="http://schemas.openxmlformats.org/drawingml/2006/main" r:id="rId11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3DC7FA" id="Rectangle 14" o:spid="_x0000_s1026" alt="Details are in the caption following the image" href="https://onlinelibrary.wiley.com/cms/asset/e90e593a-02c5-428f-a62a-4cf106b4ba08/dpr12777-fig-0006-m.jp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1F9944B" w14:textId="77777777" w:rsidR="00F607F2" w:rsidRPr="00F607F2" w:rsidRDefault="00F607F2" w:rsidP="00F607F2">
      <w:pPr>
        <w:rPr>
          <w:rFonts w:ascii="Arial" w:eastAsia="Arial" w:hAnsi="Arial" w:cs="Arial"/>
          <w:i/>
          <w:iCs/>
          <w:sz w:val="14"/>
          <w:szCs w:val="14"/>
        </w:rPr>
      </w:pPr>
      <w:r w:rsidRPr="00F607F2">
        <w:rPr>
          <w:rFonts w:ascii="Arial" w:eastAsia="Arial" w:hAnsi="Arial" w:cs="Arial"/>
          <w:b/>
          <w:bCs/>
          <w:i/>
          <w:iCs/>
          <w:sz w:val="14"/>
          <w:szCs w:val="14"/>
        </w:rPr>
        <w:t>FIGURE 6</w:t>
      </w:r>
    </w:p>
    <w:p w14:paraId="1EBADD56" w14:textId="77777777" w:rsidR="00F607F2" w:rsidRPr="00F607F2" w:rsidRDefault="00F607F2" w:rsidP="00F607F2">
      <w:pPr>
        <w:rPr>
          <w:rFonts w:ascii="Arial" w:eastAsia="Arial" w:hAnsi="Arial" w:cs="Arial"/>
          <w:i/>
          <w:iCs/>
          <w:sz w:val="14"/>
          <w:szCs w:val="14"/>
        </w:rPr>
      </w:pPr>
      <w:hyperlink r:id="rId120" w:history="1">
        <w:r w:rsidRPr="00F607F2">
          <w:rPr>
            <w:rStyle w:val="Hyperlink"/>
            <w:rFonts w:ascii="Arial" w:eastAsia="Arial" w:hAnsi="Arial" w:cs="Arial"/>
            <w:b/>
            <w:bCs/>
            <w:i/>
            <w:iCs/>
            <w:color w:val="auto"/>
            <w:sz w:val="14"/>
            <w:szCs w:val="14"/>
          </w:rPr>
          <w:t xml:space="preserve">Open in figure </w:t>
        </w:r>
        <w:proofErr w:type="spellStart"/>
        <w:r w:rsidRPr="00F607F2">
          <w:rPr>
            <w:rStyle w:val="Hyperlink"/>
            <w:rFonts w:ascii="Arial" w:eastAsia="Arial" w:hAnsi="Arial" w:cs="Arial"/>
            <w:b/>
            <w:bCs/>
            <w:i/>
            <w:iCs/>
            <w:color w:val="auto"/>
            <w:sz w:val="14"/>
            <w:szCs w:val="14"/>
          </w:rPr>
          <w:t>viewer</w:t>
        </w:r>
      </w:hyperlink>
      <w:hyperlink r:id="rId121" w:history="1">
        <w:r w:rsidRPr="00F607F2">
          <w:rPr>
            <w:rStyle w:val="Hyperlink"/>
            <w:rFonts w:ascii="Arial" w:eastAsia="Arial" w:hAnsi="Arial" w:cs="Arial"/>
            <w:b/>
            <w:bCs/>
            <w:i/>
            <w:iCs/>
            <w:color w:val="auto"/>
            <w:sz w:val="14"/>
            <w:szCs w:val="14"/>
          </w:rPr>
          <w:t>PowerPoint</w:t>
        </w:r>
        <w:proofErr w:type="spellEnd"/>
      </w:hyperlink>
    </w:p>
    <w:p w14:paraId="01C9E8CA"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IEC volume, 2000–2017.</w:t>
      </w:r>
    </w:p>
    <w:p w14:paraId="39F437DE"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Source: Adapted and expanded from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2.0 by authors.</w:t>
      </w:r>
    </w:p>
    <w:p w14:paraId="6910191D"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One of the most notable aspects of China's IEC is its regional distribution. In terms of regional investment, Africa is the largest recipient of IEC, receiving USD 4.043 billion (63%), according to existing qualitative research. Asia follows with USD 1.146 billion (18%), which increased significantly in 2013 and 2014 following the proposal of the Belt and Road Initiative (BRI). The Americas also have a relatively high level of </w:t>
      </w:r>
      <w:r w:rsidRPr="00F607F2">
        <w:rPr>
          <w:rFonts w:ascii="Arial" w:eastAsia="Arial" w:hAnsi="Arial" w:cs="Arial"/>
          <w:i/>
          <w:iCs/>
          <w:sz w:val="14"/>
          <w:szCs w:val="14"/>
        </w:rPr>
        <w:lastRenderedPageBreak/>
        <w:t>investment in specific years, including 2016, by specific large projects (see the supplementary material), accounting for 10% of the total (USD 616 million). Oceania also receives a portion of the investment, totalling USD 389 million (6%). Regarding ranking of IEC investment by country, Angola received the most, but many other African countries were also among the top recipients. These African countries received credit-type IEC support from China. This suggests that the presence or absence of loan schemes has a significant impact on the amount of IEC invested in a given country Figure </w:t>
      </w:r>
      <w:hyperlink r:id="rId122" w:anchor="dpr12777-fig-0006" w:history="1">
        <w:r w:rsidRPr="00F607F2">
          <w:rPr>
            <w:rStyle w:val="Hyperlink"/>
            <w:rFonts w:ascii="Arial" w:eastAsia="Arial" w:hAnsi="Arial" w:cs="Arial"/>
            <w:b/>
            <w:bCs/>
            <w:i/>
            <w:iCs/>
            <w:color w:val="auto"/>
            <w:sz w:val="14"/>
            <w:szCs w:val="14"/>
          </w:rPr>
          <w:t>6</w:t>
        </w:r>
      </w:hyperlink>
      <w:r w:rsidRPr="00F607F2">
        <w:rPr>
          <w:rFonts w:ascii="Arial" w:eastAsia="Arial" w:hAnsi="Arial" w:cs="Arial"/>
          <w:i/>
          <w:iCs/>
          <w:sz w:val="14"/>
          <w:szCs w:val="14"/>
        </w:rPr>
        <w:t>.</w:t>
      </w:r>
    </w:p>
    <w:p w14:paraId="29A059BC"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When looking at the funding agencies for IEC, as shown in Figure </w:t>
      </w:r>
      <w:hyperlink r:id="rId123" w:anchor="dpr12777-fig-0007" w:history="1">
        <w:r w:rsidRPr="00F607F2">
          <w:rPr>
            <w:rStyle w:val="Hyperlink"/>
            <w:rFonts w:ascii="Arial" w:eastAsia="Arial" w:hAnsi="Arial" w:cs="Arial"/>
            <w:b/>
            <w:bCs/>
            <w:i/>
            <w:iCs/>
            <w:color w:val="auto"/>
            <w:sz w:val="14"/>
            <w:szCs w:val="14"/>
          </w:rPr>
          <w:t>7</w:t>
        </w:r>
      </w:hyperlink>
      <w:r w:rsidRPr="00F607F2">
        <w:rPr>
          <w:rFonts w:ascii="Arial" w:eastAsia="Arial" w:hAnsi="Arial" w:cs="Arial"/>
          <w:i/>
          <w:iCs/>
          <w:sz w:val="14"/>
          <w:szCs w:val="14"/>
        </w:rPr>
        <w:t>, CEXIM is the leading provider, with USD 2.466 billion (38%). Another policy bank, CDB, ranks fourth with USD 632 million (10%), indicating a strong presence despite having fewer projects. The second-largest funding agency is MOFCOM, accounting for USD 1.750 billion (27%). The fifth-largest contributor is Hanban (Confucius Institute Headquarters), accounting for a small portion of the total IEC at USD 276 million (4%). However, this figure signals its significance as a key player in China's IEC. A local government, the Shenzhen Municipal People's Government, ranks higher than the Ministry of Education, indicating that local governments play an important role in China's IEC. Surprisingly, only a small portion of investments by the Ministry of Education were included in this analysis, though the ministry is only the tenth largest IEC financer.</w:t>
      </w:r>
    </w:p>
    <w:p w14:paraId="079F3FDE" w14:textId="5D718DBC" w:rsidR="00F607F2" w:rsidRPr="00F607F2" w:rsidRDefault="00F607F2" w:rsidP="00F607F2">
      <w:pPr>
        <w:rPr>
          <w:rFonts w:ascii="Arial" w:eastAsia="Arial" w:hAnsi="Arial" w:cs="Arial"/>
          <w:i/>
          <w:iCs/>
          <w:sz w:val="14"/>
          <w:szCs w:val="14"/>
        </w:rPr>
      </w:pPr>
      <w:r w:rsidRPr="00F607F2">
        <w:rPr>
          <w:rFonts w:ascii="Arial" w:eastAsia="Arial" w:hAnsi="Arial" w:cs="Arial"/>
          <w:b/>
          <w:bCs/>
          <w:i/>
          <w:iCs/>
          <w:sz w:val="14"/>
          <w:szCs w:val="14"/>
        </w:rPr>
        <mc:AlternateContent>
          <mc:Choice Requires="wps">
            <w:drawing>
              <wp:inline distT="0" distB="0" distL="0" distR="0" wp14:anchorId="41EBC14F" wp14:editId="1F56BBDB">
                <wp:extent cx="304800" cy="304800"/>
                <wp:effectExtent l="0" t="0" r="0" b="0"/>
                <wp:docPr id="184856756" name="Rectangle 13" descr="Details are in the caption following the image">
                  <a:hlinkClick xmlns:a="http://schemas.openxmlformats.org/drawingml/2006/main" r:id="rId12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264BB0" id="Rectangle 13" o:spid="_x0000_s1026" alt="Details are in the caption following the image" href="https://onlinelibrary.wiley.com/cms/asset/6cc5767a-fc2a-4049-884e-b04ab739d323/dpr12777-fig-0007-m.jp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361CE77" w14:textId="77777777" w:rsidR="00F607F2" w:rsidRPr="00F607F2" w:rsidRDefault="00F607F2" w:rsidP="00F607F2">
      <w:pPr>
        <w:rPr>
          <w:rFonts w:ascii="Arial" w:eastAsia="Arial" w:hAnsi="Arial" w:cs="Arial"/>
          <w:i/>
          <w:iCs/>
          <w:sz w:val="14"/>
          <w:szCs w:val="14"/>
        </w:rPr>
      </w:pPr>
      <w:r w:rsidRPr="00F607F2">
        <w:rPr>
          <w:rFonts w:ascii="Arial" w:eastAsia="Arial" w:hAnsi="Arial" w:cs="Arial"/>
          <w:b/>
          <w:bCs/>
          <w:i/>
          <w:iCs/>
          <w:sz w:val="14"/>
          <w:szCs w:val="14"/>
        </w:rPr>
        <w:t>FIGURE 7</w:t>
      </w:r>
    </w:p>
    <w:p w14:paraId="5A3A6227" w14:textId="77777777" w:rsidR="00F607F2" w:rsidRPr="00F607F2" w:rsidRDefault="00F607F2" w:rsidP="00F607F2">
      <w:pPr>
        <w:rPr>
          <w:rFonts w:ascii="Arial" w:eastAsia="Arial" w:hAnsi="Arial" w:cs="Arial"/>
          <w:i/>
          <w:iCs/>
          <w:sz w:val="14"/>
          <w:szCs w:val="14"/>
        </w:rPr>
      </w:pPr>
      <w:hyperlink r:id="rId125" w:history="1">
        <w:r w:rsidRPr="00F607F2">
          <w:rPr>
            <w:rStyle w:val="Hyperlink"/>
            <w:rFonts w:ascii="Arial" w:eastAsia="Arial" w:hAnsi="Arial" w:cs="Arial"/>
            <w:b/>
            <w:bCs/>
            <w:i/>
            <w:iCs/>
            <w:color w:val="auto"/>
            <w:sz w:val="14"/>
            <w:szCs w:val="14"/>
          </w:rPr>
          <w:t xml:space="preserve">Open in figure </w:t>
        </w:r>
        <w:proofErr w:type="spellStart"/>
        <w:r w:rsidRPr="00F607F2">
          <w:rPr>
            <w:rStyle w:val="Hyperlink"/>
            <w:rFonts w:ascii="Arial" w:eastAsia="Arial" w:hAnsi="Arial" w:cs="Arial"/>
            <w:b/>
            <w:bCs/>
            <w:i/>
            <w:iCs/>
            <w:color w:val="auto"/>
            <w:sz w:val="14"/>
            <w:szCs w:val="14"/>
          </w:rPr>
          <w:t>viewer</w:t>
        </w:r>
      </w:hyperlink>
      <w:hyperlink r:id="rId126" w:history="1">
        <w:r w:rsidRPr="00F607F2">
          <w:rPr>
            <w:rStyle w:val="Hyperlink"/>
            <w:rFonts w:ascii="Arial" w:eastAsia="Arial" w:hAnsi="Arial" w:cs="Arial"/>
            <w:b/>
            <w:bCs/>
            <w:i/>
            <w:iCs/>
            <w:color w:val="auto"/>
            <w:sz w:val="14"/>
            <w:szCs w:val="14"/>
          </w:rPr>
          <w:t>PowerPoint</w:t>
        </w:r>
        <w:proofErr w:type="spellEnd"/>
      </w:hyperlink>
    </w:p>
    <w:p w14:paraId="0CD4517B"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Top funding agencies for IEC.</w:t>
      </w:r>
    </w:p>
    <w:p w14:paraId="484690F5"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Source: Adapted and expanded from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2.0 by authors.</w:t>
      </w:r>
    </w:p>
    <w:p w14:paraId="5633E676"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Figure </w:t>
      </w:r>
      <w:hyperlink r:id="rId127" w:anchor="dpr12777-fig-0008" w:history="1">
        <w:r w:rsidRPr="00F607F2">
          <w:rPr>
            <w:rStyle w:val="Hyperlink"/>
            <w:rFonts w:ascii="Arial" w:eastAsia="Arial" w:hAnsi="Arial" w:cs="Arial"/>
            <w:b/>
            <w:bCs/>
            <w:i/>
            <w:iCs/>
            <w:color w:val="auto"/>
            <w:sz w:val="14"/>
            <w:szCs w:val="14"/>
          </w:rPr>
          <w:t>8</w:t>
        </w:r>
      </w:hyperlink>
      <w:r w:rsidRPr="00F607F2">
        <w:rPr>
          <w:rFonts w:ascii="Arial" w:eastAsia="Arial" w:hAnsi="Arial" w:cs="Arial"/>
          <w:i/>
          <w:iCs/>
          <w:sz w:val="14"/>
          <w:szCs w:val="14"/>
        </w:rPr>
        <w:t> shows the distributions of IEC to CIs and CCs. The distinctive feature of China's IEC is the presence of CI/CC. However, because they do not have projects involving high-cost schemes such as loans or buyer's credits, their total investment is only USD 458 million, accounting for 7% of the total IEC. However, since the BRI launch in 2013, China's CI/CC investment has remained higher than before. In terms of subsectors, higher education receives most of the investment (USD 405 million, 88%). Regarding distribution, Asia was the dominant region until 2006. Africa's share increased significantly after the fifth FOCAC in </w:t>
      </w:r>
      <w:hyperlink r:id="rId128" w:anchor="dpr12777-bib-0012" w:history="1">
        <w:r w:rsidRPr="00F607F2">
          <w:rPr>
            <w:rStyle w:val="Hyperlink"/>
            <w:rFonts w:ascii="Arial" w:eastAsia="Arial" w:hAnsi="Arial" w:cs="Arial"/>
            <w:b/>
            <w:bCs/>
            <w:i/>
            <w:iCs/>
            <w:color w:val="auto"/>
            <w:sz w:val="14"/>
            <w:szCs w:val="14"/>
          </w:rPr>
          <w:t>2012</w:t>
        </w:r>
      </w:hyperlink>
      <w:r w:rsidRPr="00F607F2">
        <w:rPr>
          <w:rFonts w:ascii="Arial" w:eastAsia="Arial" w:hAnsi="Arial" w:cs="Arial"/>
          <w:i/>
          <w:iCs/>
          <w:sz w:val="14"/>
          <w:szCs w:val="14"/>
        </w:rPr>
        <w:t> when China pledged to shift IEC for Africa from social development to people-to-people exchange. The top three countries were all African: Mali, Tanzania, and Kenya. Below Thailand, the fourth-ranked country, investment amounts became extremely small and various countries from different regions followed closely behind Figure </w:t>
      </w:r>
      <w:hyperlink r:id="rId129" w:anchor="dpr12777-fig-0008" w:history="1">
        <w:r w:rsidRPr="00F607F2">
          <w:rPr>
            <w:rStyle w:val="Hyperlink"/>
            <w:rFonts w:ascii="Arial" w:eastAsia="Arial" w:hAnsi="Arial" w:cs="Arial"/>
            <w:b/>
            <w:bCs/>
            <w:i/>
            <w:iCs/>
            <w:color w:val="auto"/>
            <w:sz w:val="14"/>
            <w:szCs w:val="14"/>
          </w:rPr>
          <w:t>8</w:t>
        </w:r>
      </w:hyperlink>
      <w:r w:rsidRPr="00F607F2">
        <w:rPr>
          <w:rFonts w:ascii="Arial" w:eastAsia="Arial" w:hAnsi="Arial" w:cs="Arial"/>
          <w:i/>
          <w:iCs/>
          <w:sz w:val="14"/>
          <w:szCs w:val="14"/>
        </w:rPr>
        <w:t>.</w:t>
      </w:r>
    </w:p>
    <w:p w14:paraId="201D2672" w14:textId="4B80A731" w:rsidR="00F607F2" w:rsidRPr="00F607F2" w:rsidRDefault="00F607F2" w:rsidP="00F607F2">
      <w:pPr>
        <w:rPr>
          <w:rFonts w:ascii="Arial" w:eastAsia="Arial" w:hAnsi="Arial" w:cs="Arial"/>
          <w:i/>
          <w:iCs/>
          <w:sz w:val="14"/>
          <w:szCs w:val="14"/>
        </w:rPr>
      </w:pPr>
      <w:r w:rsidRPr="00F607F2">
        <w:rPr>
          <w:rFonts w:ascii="Arial" w:eastAsia="Arial" w:hAnsi="Arial" w:cs="Arial"/>
          <w:b/>
          <w:bCs/>
          <w:i/>
          <w:iCs/>
          <w:sz w:val="14"/>
          <w:szCs w:val="14"/>
        </w:rPr>
        <mc:AlternateContent>
          <mc:Choice Requires="wps">
            <w:drawing>
              <wp:inline distT="0" distB="0" distL="0" distR="0" wp14:anchorId="0C63C96C" wp14:editId="5DC4370C">
                <wp:extent cx="304800" cy="304800"/>
                <wp:effectExtent l="0" t="0" r="0" b="0"/>
                <wp:docPr id="1720816802" name="Rectangle 12" descr="Details are in the caption following the image">
                  <a:hlinkClick xmlns:a="http://schemas.openxmlformats.org/drawingml/2006/main" r:id="rId13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57FC31" id="Rectangle 12" o:spid="_x0000_s1026" alt="Details are in the caption following the image" href="https://onlinelibrary.wiley.com/cms/asset/973fa090-1c13-4ee6-9392-42e27b902808/dpr12777-fig-0008-m.jp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9589445" w14:textId="77777777" w:rsidR="00F607F2" w:rsidRPr="00F607F2" w:rsidRDefault="00F607F2" w:rsidP="00F607F2">
      <w:pPr>
        <w:rPr>
          <w:rFonts w:ascii="Arial" w:eastAsia="Arial" w:hAnsi="Arial" w:cs="Arial"/>
          <w:i/>
          <w:iCs/>
          <w:sz w:val="14"/>
          <w:szCs w:val="14"/>
        </w:rPr>
      </w:pPr>
      <w:r w:rsidRPr="00F607F2">
        <w:rPr>
          <w:rFonts w:ascii="Arial" w:eastAsia="Arial" w:hAnsi="Arial" w:cs="Arial"/>
          <w:b/>
          <w:bCs/>
          <w:i/>
          <w:iCs/>
          <w:sz w:val="14"/>
          <w:szCs w:val="14"/>
        </w:rPr>
        <w:t>FIGURE 8</w:t>
      </w:r>
    </w:p>
    <w:p w14:paraId="763CDF06" w14:textId="77777777" w:rsidR="00F607F2" w:rsidRPr="00F607F2" w:rsidRDefault="00F607F2" w:rsidP="00F607F2">
      <w:pPr>
        <w:rPr>
          <w:rFonts w:ascii="Arial" w:eastAsia="Arial" w:hAnsi="Arial" w:cs="Arial"/>
          <w:i/>
          <w:iCs/>
          <w:sz w:val="14"/>
          <w:szCs w:val="14"/>
        </w:rPr>
      </w:pPr>
      <w:hyperlink r:id="rId131" w:history="1">
        <w:r w:rsidRPr="00F607F2">
          <w:rPr>
            <w:rStyle w:val="Hyperlink"/>
            <w:rFonts w:ascii="Arial" w:eastAsia="Arial" w:hAnsi="Arial" w:cs="Arial"/>
            <w:b/>
            <w:bCs/>
            <w:i/>
            <w:iCs/>
            <w:color w:val="auto"/>
            <w:sz w:val="14"/>
            <w:szCs w:val="14"/>
          </w:rPr>
          <w:t xml:space="preserve">Open in figure </w:t>
        </w:r>
        <w:proofErr w:type="spellStart"/>
        <w:r w:rsidRPr="00F607F2">
          <w:rPr>
            <w:rStyle w:val="Hyperlink"/>
            <w:rFonts w:ascii="Arial" w:eastAsia="Arial" w:hAnsi="Arial" w:cs="Arial"/>
            <w:b/>
            <w:bCs/>
            <w:i/>
            <w:iCs/>
            <w:color w:val="auto"/>
            <w:sz w:val="14"/>
            <w:szCs w:val="14"/>
          </w:rPr>
          <w:t>viewer</w:t>
        </w:r>
      </w:hyperlink>
      <w:hyperlink r:id="rId132" w:history="1">
        <w:r w:rsidRPr="00F607F2">
          <w:rPr>
            <w:rStyle w:val="Hyperlink"/>
            <w:rFonts w:ascii="Arial" w:eastAsia="Arial" w:hAnsi="Arial" w:cs="Arial"/>
            <w:b/>
            <w:bCs/>
            <w:i/>
            <w:iCs/>
            <w:color w:val="auto"/>
            <w:sz w:val="14"/>
            <w:szCs w:val="14"/>
          </w:rPr>
          <w:t>PowerPoint</w:t>
        </w:r>
        <w:proofErr w:type="spellEnd"/>
      </w:hyperlink>
    </w:p>
    <w:p w14:paraId="1844DFB8"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Distributions of IEC to CIs and CCs.</w:t>
      </w:r>
    </w:p>
    <w:p w14:paraId="2547571C"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Source: Adapted and expanded from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2.0 by authors.</w:t>
      </w:r>
    </w:p>
    <w:p w14:paraId="3CE588AA"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4.4 Comparing with traditional donors</w:t>
      </w:r>
    </w:p>
    <w:p w14:paraId="4CB8C423"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This section compares China's education aid with that of so-called traditional donors such as OECD DAC countries and multilateral development banks. The OECD DAC comprises 30 member countries. Its member countries and other OECD countries publish an annual database of international development statistics known as CRS, which includes data on aid flows such as disbursements and commitments. The database is increasingly populated with data from emerging donors who are not members of the committee, such as Kuwait and the United Arab Emirates. Since China is listed as a recipient in the database, it has been impossible to compare China to DAC donors, but our estimates allow us to do so. According to our estimate based on the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dataset, China committed USD 1.81 billion in education-sector ODA-like finance to African countries between 2000 and 2017, as shown in Figure </w:t>
      </w:r>
      <w:hyperlink r:id="rId133" w:anchor="dpr12777-fig-0009" w:history="1">
        <w:r w:rsidRPr="00F607F2">
          <w:rPr>
            <w:rStyle w:val="Hyperlink"/>
            <w:rFonts w:ascii="Arial" w:eastAsia="Arial" w:hAnsi="Arial" w:cs="Arial"/>
            <w:b/>
            <w:bCs/>
            <w:i/>
            <w:iCs/>
            <w:color w:val="auto"/>
            <w:sz w:val="14"/>
            <w:szCs w:val="14"/>
          </w:rPr>
          <w:t>9</w:t>
        </w:r>
      </w:hyperlink>
      <w:r w:rsidRPr="00F607F2">
        <w:rPr>
          <w:rFonts w:ascii="Arial" w:eastAsia="Arial" w:hAnsi="Arial" w:cs="Arial"/>
          <w:i/>
          <w:iCs/>
          <w:sz w:val="14"/>
          <w:szCs w:val="14"/>
        </w:rPr>
        <w:t>. This total places China as one of the top 10 donors, following France, the World Bank, Germany, the United States, the European Union, the United Kingdom, Canada, Japan, and the Netherlands.</w:t>
      </w:r>
    </w:p>
    <w:p w14:paraId="67495F82" w14:textId="34FFD63E" w:rsidR="00F607F2" w:rsidRPr="00F607F2" w:rsidRDefault="00F607F2" w:rsidP="00F607F2">
      <w:pPr>
        <w:rPr>
          <w:rFonts w:ascii="Arial" w:eastAsia="Arial" w:hAnsi="Arial" w:cs="Arial"/>
          <w:i/>
          <w:iCs/>
          <w:sz w:val="14"/>
          <w:szCs w:val="14"/>
        </w:rPr>
      </w:pPr>
      <w:r w:rsidRPr="00F607F2">
        <w:rPr>
          <w:rFonts w:ascii="Arial" w:eastAsia="Arial" w:hAnsi="Arial" w:cs="Arial"/>
          <w:b/>
          <w:bCs/>
          <w:i/>
          <w:iCs/>
          <w:sz w:val="14"/>
          <w:szCs w:val="14"/>
        </w:rPr>
        <mc:AlternateContent>
          <mc:Choice Requires="wps">
            <w:drawing>
              <wp:inline distT="0" distB="0" distL="0" distR="0" wp14:anchorId="6B32DFEA" wp14:editId="7B1D7AE0">
                <wp:extent cx="304800" cy="304800"/>
                <wp:effectExtent l="0" t="0" r="0" b="0"/>
                <wp:docPr id="1908770261" name="Rectangle 11" descr="Details are in the caption following the image">
                  <a:hlinkClick xmlns:a="http://schemas.openxmlformats.org/drawingml/2006/main" r:id="rId13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EFD77A" id="Rectangle 11" o:spid="_x0000_s1026" alt="Details are in the caption following the image" href="https://onlinelibrary.wiley.com/cms/asset/e7ca8a0c-a55f-45fa-b080-8d5da093722c/dpr12777-fig-0009-m.jp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4E1F48B" w14:textId="77777777" w:rsidR="00F607F2" w:rsidRPr="00F607F2" w:rsidRDefault="00F607F2" w:rsidP="00F607F2">
      <w:pPr>
        <w:rPr>
          <w:rFonts w:ascii="Arial" w:eastAsia="Arial" w:hAnsi="Arial" w:cs="Arial"/>
          <w:i/>
          <w:iCs/>
          <w:sz w:val="14"/>
          <w:szCs w:val="14"/>
        </w:rPr>
      </w:pPr>
      <w:r w:rsidRPr="00F607F2">
        <w:rPr>
          <w:rFonts w:ascii="Arial" w:eastAsia="Arial" w:hAnsi="Arial" w:cs="Arial"/>
          <w:b/>
          <w:bCs/>
          <w:i/>
          <w:iCs/>
          <w:sz w:val="14"/>
          <w:szCs w:val="14"/>
        </w:rPr>
        <w:t>FIGURE 9</w:t>
      </w:r>
    </w:p>
    <w:p w14:paraId="6B6F24B4" w14:textId="77777777" w:rsidR="00F607F2" w:rsidRPr="00F607F2" w:rsidRDefault="00F607F2" w:rsidP="00F607F2">
      <w:pPr>
        <w:rPr>
          <w:rFonts w:ascii="Arial" w:eastAsia="Arial" w:hAnsi="Arial" w:cs="Arial"/>
          <w:i/>
          <w:iCs/>
          <w:sz w:val="14"/>
          <w:szCs w:val="14"/>
        </w:rPr>
      </w:pPr>
      <w:hyperlink r:id="rId135" w:history="1">
        <w:r w:rsidRPr="00F607F2">
          <w:rPr>
            <w:rStyle w:val="Hyperlink"/>
            <w:rFonts w:ascii="Arial" w:eastAsia="Arial" w:hAnsi="Arial" w:cs="Arial"/>
            <w:b/>
            <w:bCs/>
            <w:i/>
            <w:iCs/>
            <w:color w:val="auto"/>
            <w:sz w:val="14"/>
            <w:szCs w:val="14"/>
          </w:rPr>
          <w:t xml:space="preserve">Open in figure </w:t>
        </w:r>
        <w:proofErr w:type="spellStart"/>
        <w:r w:rsidRPr="00F607F2">
          <w:rPr>
            <w:rStyle w:val="Hyperlink"/>
            <w:rFonts w:ascii="Arial" w:eastAsia="Arial" w:hAnsi="Arial" w:cs="Arial"/>
            <w:b/>
            <w:bCs/>
            <w:i/>
            <w:iCs/>
            <w:color w:val="auto"/>
            <w:sz w:val="14"/>
            <w:szCs w:val="14"/>
          </w:rPr>
          <w:t>viewer</w:t>
        </w:r>
      </w:hyperlink>
      <w:hyperlink r:id="rId136" w:history="1">
        <w:r w:rsidRPr="00F607F2">
          <w:rPr>
            <w:rStyle w:val="Hyperlink"/>
            <w:rFonts w:ascii="Arial" w:eastAsia="Arial" w:hAnsi="Arial" w:cs="Arial"/>
            <w:b/>
            <w:bCs/>
            <w:i/>
            <w:iCs/>
            <w:color w:val="auto"/>
            <w:sz w:val="14"/>
            <w:szCs w:val="14"/>
          </w:rPr>
          <w:t>PowerPoint</w:t>
        </w:r>
        <w:proofErr w:type="spellEnd"/>
      </w:hyperlink>
    </w:p>
    <w:p w14:paraId="21DFEDAD"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Cumulative direct education aid to African countries, 2000–2017.</w:t>
      </w:r>
    </w:p>
    <w:p w14:paraId="26ADC90F"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Source: Adapted and expanded from OECD CRS (2023) and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2.0 by authors.</w:t>
      </w:r>
    </w:p>
    <w:p w14:paraId="74071BAA"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In terms of aid like, China allocated approximately one third of its total commitments to concessional loans for education. This stands out as bilateral aid to Africa, where many countries have low incomes. Among the 10 largest bilateral and multilateral donors, China's concessional loans rank second.</w:t>
      </w:r>
    </w:p>
    <w:p w14:paraId="4FBD3315" w14:textId="77777777" w:rsidR="00F607F2" w:rsidRPr="00F607F2" w:rsidRDefault="00F607F2" w:rsidP="00F607F2">
      <w:pPr>
        <w:rPr>
          <w:rFonts w:ascii="Arial" w:eastAsia="Arial" w:hAnsi="Arial" w:cs="Arial"/>
          <w:b/>
          <w:bCs/>
          <w:i/>
          <w:iCs/>
          <w:sz w:val="14"/>
          <w:szCs w:val="14"/>
        </w:rPr>
      </w:pPr>
      <w:r w:rsidRPr="00F607F2">
        <w:rPr>
          <w:rFonts w:ascii="Arial" w:eastAsia="Arial" w:hAnsi="Arial" w:cs="Arial"/>
          <w:b/>
          <w:bCs/>
          <w:i/>
          <w:iCs/>
          <w:sz w:val="14"/>
          <w:szCs w:val="14"/>
        </w:rPr>
        <w:t xml:space="preserve">5 </w:t>
      </w:r>
      <w:proofErr w:type="gramStart"/>
      <w:r w:rsidRPr="00F607F2">
        <w:rPr>
          <w:rFonts w:ascii="Arial" w:eastAsia="Arial" w:hAnsi="Arial" w:cs="Arial"/>
          <w:b/>
          <w:bCs/>
          <w:i/>
          <w:iCs/>
          <w:sz w:val="14"/>
          <w:szCs w:val="14"/>
        </w:rPr>
        <w:t>CONCLUSION</w:t>
      </w:r>
      <w:proofErr w:type="gramEnd"/>
    </w:p>
    <w:p w14:paraId="285D7CE1"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This study provides a better understanding of China's IEC investment, drawing on previous aid-tracking research in health. Our analysis revealed that education is a key focus area in China's official overseas finance portfolio, accounting for a sizeable proportion of projects when all modalities of development finance are considered.</w:t>
      </w:r>
    </w:p>
    <w:p w14:paraId="258C8BD2"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lastRenderedPageBreak/>
        <w:t>Our analysis provides quantitative support for the widely held belief that China's IEC focuses on higher education. We can confirm that China has made significant investments in vocational training in terms of value. The significance of BRI in China since its inception in 2013 was also clear. The BRI helped to diversify China's IEC geographic allocation, shifting it away from its concentration in Africa. The investment in CIs/CCs has skyrocketed under BRI, with an emphasis on people-to-people connections alongside regional ones.</w:t>
      </w:r>
    </w:p>
    <w:p w14:paraId="1BDCC717"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Our findings show that both ODA-like and OOF-like financing constitute the majority of IEC. This highlights the contrasting nature of China's international development co-operation in education and health. McDade et al. (</w:t>
      </w:r>
      <w:hyperlink r:id="rId137" w:anchor="dpr12777-bib-0031" w:history="1">
        <w:r w:rsidRPr="00F607F2">
          <w:rPr>
            <w:rStyle w:val="Hyperlink"/>
            <w:rFonts w:ascii="Arial" w:eastAsia="Arial" w:hAnsi="Arial" w:cs="Arial"/>
            <w:b/>
            <w:bCs/>
            <w:i/>
            <w:iCs/>
            <w:color w:val="auto"/>
            <w:sz w:val="14"/>
            <w:szCs w:val="14"/>
          </w:rPr>
          <w:t>2022</w:t>
        </w:r>
      </w:hyperlink>
      <w:r w:rsidRPr="00F607F2">
        <w:rPr>
          <w:rFonts w:ascii="Arial" w:eastAsia="Arial" w:hAnsi="Arial" w:cs="Arial"/>
          <w:i/>
          <w:iCs/>
          <w:sz w:val="14"/>
          <w:szCs w:val="14"/>
        </w:rPr>
        <w:t>) demonstrated that China's overseas financing for the health sector primarily targeted Africa with ODA-like investments. Meanwhile, China's IEC investments are geographically diverse, with OOF-like funds other than for development accounting for a significant proportion. These characteristics suggest that China's IEC is highly motivated by representational goals to strengthen its soft power, as previous research has shown (Lo &amp; Pan, </w:t>
      </w:r>
      <w:hyperlink r:id="rId138" w:anchor="dpr12777-bib-0029" w:history="1">
        <w:r w:rsidRPr="00F607F2">
          <w:rPr>
            <w:rStyle w:val="Hyperlink"/>
            <w:rFonts w:ascii="Arial" w:eastAsia="Arial" w:hAnsi="Arial" w:cs="Arial"/>
            <w:b/>
            <w:bCs/>
            <w:i/>
            <w:iCs/>
            <w:color w:val="auto"/>
            <w:sz w:val="14"/>
            <w:szCs w:val="14"/>
          </w:rPr>
          <w:t>2016</w:t>
        </w:r>
      </w:hyperlink>
      <w:r w:rsidRPr="00F607F2">
        <w:rPr>
          <w:rFonts w:ascii="Arial" w:eastAsia="Arial" w:hAnsi="Arial" w:cs="Arial"/>
          <w:i/>
          <w:iCs/>
          <w:sz w:val="14"/>
          <w:szCs w:val="14"/>
        </w:rPr>
        <w:t>; Ye, </w:t>
      </w:r>
      <w:hyperlink r:id="rId139" w:anchor="dpr12777-bib-0052" w:history="1">
        <w:r w:rsidRPr="00F607F2">
          <w:rPr>
            <w:rStyle w:val="Hyperlink"/>
            <w:rFonts w:ascii="Arial" w:eastAsia="Arial" w:hAnsi="Arial" w:cs="Arial"/>
            <w:b/>
            <w:bCs/>
            <w:i/>
            <w:iCs/>
            <w:color w:val="auto"/>
            <w:sz w:val="14"/>
            <w:szCs w:val="14"/>
          </w:rPr>
          <w:t>2022</w:t>
        </w:r>
      </w:hyperlink>
      <w:r w:rsidRPr="00F607F2">
        <w:rPr>
          <w:rFonts w:ascii="Arial" w:eastAsia="Arial" w:hAnsi="Arial" w:cs="Arial"/>
          <w:i/>
          <w:iCs/>
          <w:sz w:val="14"/>
          <w:szCs w:val="14"/>
        </w:rPr>
        <w:t xml:space="preserve">). Observing only development-oriented finance may lead us to overlook these important aspects of China's IEC, which include OOF-like finance. Rich data samples of OOF-like finance projects are one of the main advantages of the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dataset, allowing our study to successfully capture a comprehensive overview of China's IEC financial significance at the project-level granularity. According to our estimates, lending investments account for most of China's overseas education finance. This may be related to the limited monetary presence of CIs/CCs in China's IEC, as CIs/CCs are financed solely through grant terms, with no policy bank investments. This lending-oriented IEC is also common among other bilateral donors such as Japan (Doi, </w:t>
      </w:r>
      <w:hyperlink r:id="rId140" w:anchor="dpr12777-bib-0006" w:history="1">
        <w:r w:rsidRPr="00F607F2">
          <w:rPr>
            <w:rStyle w:val="Hyperlink"/>
            <w:rFonts w:ascii="Arial" w:eastAsia="Arial" w:hAnsi="Arial" w:cs="Arial"/>
            <w:b/>
            <w:bCs/>
            <w:i/>
            <w:iCs/>
            <w:color w:val="auto"/>
            <w:sz w:val="14"/>
            <w:szCs w:val="14"/>
          </w:rPr>
          <w:t>2021</w:t>
        </w:r>
      </w:hyperlink>
      <w:r w:rsidRPr="00F607F2">
        <w:rPr>
          <w:rFonts w:ascii="Arial" w:eastAsia="Arial" w:hAnsi="Arial" w:cs="Arial"/>
          <w:i/>
          <w:iCs/>
          <w:sz w:val="14"/>
          <w:szCs w:val="14"/>
        </w:rPr>
        <w:t xml:space="preserve">; </w:t>
      </w:r>
      <w:proofErr w:type="spellStart"/>
      <w:r w:rsidRPr="00F607F2">
        <w:rPr>
          <w:rFonts w:ascii="Arial" w:eastAsia="Arial" w:hAnsi="Arial" w:cs="Arial"/>
          <w:i/>
          <w:iCs/>
          <w:sz w:val="14"/>
          <w:szCs w:val="14"/>
        </w:rPr>
        <w:t>Kayashima</w:t>
      </w:r>
      <w:proofErr w:type="spellEnd"/>
      <w:r w:rsidRPr="00F607F2">
        <w:rPr>
          <w:rFonts w:ascii="Arial" w:eastAsia="Arial" w:hAnsi="Arial" w:cs="Arial"/>
          <w:i/>
          <w:iCs/>
          <w:sz w:val="14"/>
          <w:szCs w:val="14"/>
        </w:rPr>
        <w:t xml:space="preserve"> et al., </w:t>
      </w:r>
      <w:hyperlink r:id="rId141" w:anchor="dpr12777-bib-0018" w:history="1">
        <w:r w:rsidRPr="00F607F2">
          <w:rPr>
            <w:rStyle w:val="Hyperlink"/>
            <w:rFonts w:ascii="Arial" w:eastAsia="Arial" w:hAnsi="Arial" w:cs="Arial"/>
            <w:b/>
            <w:bCs/>
            <w:i/>
            <w:iCs/>
            <w:color w:val="auto"/>
            <w:sz w:val="14"/>
            <w:szCs w:val="14"/>
          </w:rPr>
          <w:t>2022</w:t>
        </w:r>
      </w:hyperlink>
      <w:r w:rsidRPr="00F607F2">
        <w:rPr>
          <w:rFonts w:ascii="Arial" w:eastAsia="Arial" w:hAnsi="Arial" w:cs="Arial"/>
          <w:i/>
          <w:iCs/>
          <w:sz w:val="14"/>
          <w:szCs w:val="14"/>
        </w:rPr>
        <w:t>), according to OECD-CRS, and can be considered a common feature of Asian IEC providers. As financial flows to the Global South have diversified, particularly since the Busan High Level Forum and the launch of the Sustainable Development Goals in the 2010s, China's IEC has also adopted various financing strategies that do not rely entirely on ODA.</w:t>
      </w:r>
    </w:p>
    <w:p w14:paraId="7FCE81FC"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The Chinese IEC showed an increasing trend with some fluctuations from 2000 to 2017, with most projects implemented in Africa. Given the missing project amounts in the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database, the total cumulative IEC from China to Africa between 2000 and 2017 exceeded USD 6 billion. From 2002 to 2017, China was the 10th largest education aid donor to African countries. Despite the lack of transparency in aid reporting, these findings shed light on Chinese education aid.</w:t>
      </w:r>
    </w:p>
    <w:p w14:paraId="305DAF70"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Our findings have several implications: understanding China's IEC funding could lead to better international co-ordination, co-operation and fund mobilization. Other donors would benefit from understanding China's contributions and priorities for various reasons, including increased collaboration, reduced duplication of efforts, and identification of potential funding gaps. The current global donor reporting through the OECD-CRS is limited because China does not participate; however, our study has demonstrated that a comprehensive estimate of IEC flows and priorities in education can be achieved. Understanding China's priority can also help donor agencies co-ordinate more effectively and recipient countries strengthen their bargaining positions for new resource mobilizations and effective and efficient allocation of aid (McDade et al., </w:t>
      </w:r>
      <w:hyperlink r:id="rId142" w:anchor="dpr12777-bib-0031" w:history="1">
        <w:r w:rsidRPr="00F607F2">
          <w:rPr>
            <w:rStyle w:val="Hyperlink"/>
            <w:rFonts w:ascii="Arial" w:eastAsia="Arial" w:hAnsi="Arial" w:cs="Arial"/>
            <w:b/>
            <w:bCs/>
            <w:i/>
            <w:iCs/>
            <w:color w:val="auto"/>
            <w:sz w:val="14"/>
            <w:szCs w:val="14"/>
          </w:rPr>
          <w:t>2022</w:t>
        </w:r>
      </w:hyperlink>
      <w:r w:rsidRPr="00F607F2">
        <w:rPr>
          <w:rFonts w:ascii="Arial" w:eastAsia="Arial" w:hAnsi="Arial" w:cs="Arial"/>
          <w:i/>
          <w:iCs/>
          <w:sz w:val="14"/>
          <w:szCs w:val="14"/>
        </w:rPr>
        <w:t>).</w:t>
      </w:r>
    </w:p>
    <w:p w14:paraId="15201E27"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Several limitations should be noted—even with the Aid Data 2.0 dataset, the most recent available data only extends to 2017. China's approach to international aid has shifted since 2017. In 2018, China implemented significant reforms to its international development co-operation, including the establishment of an independent government agency, the China International Development Cooperation Agency, to oversee foreign aid.</w:t>
      </w:r>
      <w:hyperlink r:id="rId143" w:anchor="dpr12777-note-1003_note_2" w:tooltip="Link to note" w:history="1">
        <w:r w:rsidRPr="00F607F2">
          <w:rPr>
            <w:rStyle w:val="Hyperlink"/>
            <w:rFonts w:ascii="Arial" w:eastAsia="Arial" w:hAnsi="Arial" w:cs="Arial"/>
            <w:b/>
            <w:bCs/>
            <w:i/>
            <w:iCs/>
            <w:color w:val="auto"/>
            <w:sz w:val="14"/>
            <w:szCs w:val="14"/>
          </w:rPr>
          <w:t>3</w:t>
        </w:r>
      </w:hyperlink>
      <w:r w:rsidRPr="00F607F2">
        <w:rPr>
          <w:rFonts w:ascii="Arial" w:eastAsia="Arial" w:hAnsi="Arial" w:cs="Arial"/>
          <w:i/>
          <w:iCs/>
          <w:sz w:val="14"/>
          <w:szCs w:val="14"/>
        </w:rPr>
        <w:t xml:space="preserve"> The emergence of COVID-19 and its impact on the education sector, particularly tertiary education and vocational training, may have influenced the distribution of aid. Furthermore, in 2021, China launched the Global Development Initiative to strengthen its ties with the Global South. Given the changing context, more research is required to determine how China's IECs have evolved since 2018. The imputed values for the missing data in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2.0 are only estimates and should be interpreted with caution. Once </w:t>
      </w:r>
      <w:proofErr w:type="spellStart"/>
      <w:r w:rsidRPr="00F607F2">
        <w:rPr>
          <w:rFonts w:ascii="Arial" w:eastAsia="Arial" w:hAnsi="Arial" w:cs="Arial"/>
          <w:i/>
          <w:iCs/>
          <w:sz w:val="14"/>
          <w:szCs w:val="14"/>
        </w:rPr>
        <w:t>AidData</w:t>
      </w:r>
      <w:proofErr w:type="spellEnd"/>
      <w:r w:rsidRPr="00F607F2">
        <w:rPr>
          <w:rFonts w:ascii="Arial" w:eastAsia="Arial" w:hAnsi="Arial" w:cs="Arial"/>
          <w:i/>
          <w:iCs/>
          <w:sz w:val="14"/>
          <w:szCs w:val="14"/>
        </w:rPr>
        <w:t xml:space="preserve"> updates its dataset on China's overseas development funding, researchers can adopt the methodology used in this study to capture recent developments and estimate IEC funding. In addition, this paper provides a detailed analysis of China's IEC.</w:t>
      </w:r>
    </w:p>
    <w:p w14:paraId="0C317611"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Despite the limitations mentioned above, this study provides methodological insights that can be applied to other similar estimation trials, as well as a project-level high granular complete panel dataset with no financial missing values for China's IEC. Although it is not a perfect estimate (naturally, the perfect estimation is impossible), we used the most conservative methodological choices, following the OECD-CRS's internationally accepted definition, to eliminate bias caused by the skewed nature of the available data. Although our findings in this article are limited to events up to 2017, this does not detract from the significant value of the study. Future research could create a more up-to-date dataset by estimating financial missing values using the method described in this article when a later version of China's overseas finance dataset becomes available. Finally, future research can provide causal inferences to address questions about China's IEC allocation and its implications using the panel data generated in this study to go beyond the descriptive approach of this article.</w:t>
      </w:r>
    </w:p>
    <w:p w14:paraId="608B30FB" w14:textId="77777777" w:rsidR="00F607F2" w:rsidRPr="00F607F2" w:rsidRDefault="00F607F2" w:rsidP="00F607F2">
      <w:pPr>
        <w:rPr>
          <w:rFonts w:ascii="Arial" w:eastAsia="Arial" w:hAnsi="Arial" w:cs="Arial"/>
          <w:b/>
          <w:bCs/>
          <w:i/>
          <w:iCs/>
          <w:sz w:val="14"/>
          <w:szCs w:val="14"/>
        </w:rPr>
      </w:pPr>
      <w:r w:rsidRPr="00F607F2">
        <w:rPr>
          <w:rFonts w:ascii="Arial" w:eastAsia="Arial" w:hAnsi="Arial" w:cs="Arial"/>
          <w:b/>
          <w:bCs/>
          <w:i/>
          <w:iCs/>
          <w:sz w:val="14"/>
          <w:szCs w:val="14"/>
        </w:rPr>
        <w:t>ACKNOWLEDGEMENTS</w:t>
      </w:r>
    </w:p>
    <w:p w14:paraId="56E2FFF9"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The authors are very grateful to Mr. </w:t>
      </w:r>
      <w:proofErr w:type="spellStart"/>
      <w:r w:rsidRPr="00F607F2">
        <w:rPr>
          <w:rFonts w:ascii="Arial" w:eastAsia="Arial" w:hAnsi="Arial" w:cs="Arial"/>
          <w:i/>
          <w:iCs/>
          <w:sz w:val="14"/>
          <w:szCs w:val="14"/>
        </w:rPr>
        <w:t>Motoharu</w:t>
      </w:r>
      <w:proofErr w:type="spellEnd"/>
      <w:r w:rsidRPr="00F607F2">
        <w:rPr>
          <w:rFonts w:ascii="Arial" w:eastAsia="Arial" w:hAnsi="Arial" w:cs="Arial"/>
          <w:i/>
          <w:iCs/>
          <w:sz w:val="14"/>
          <w:szCs w:val="14"/>
        </w:rPr>
        <w:t xml:space="preserve"> Watanabe, Ms. Miya Yoshimura and other colleagues at JICA Human Development Department for their helpful technical advice on OECD-CRS classification. The authors also thank the anonymous referees for their constructive criticism of this paper.</w:t>
      </w:r>
    </w:p>
    <w:p w14:paraId="5D82D7C9" w14:textId="77777777" w:rsidR="00F607F2" w:rsidRPr="00F607F2" w:rsidRDefault="00F607F2" w:rsidP="00F607F2">
      <w:pPr>
        <w:rPr>
          <w:rFonts w:ascii="Arial" w:eastAsia="Arial" w:hAnsi="Arial" w:cs="Arial"/>
          <w:b/>
          <w:bCs/>
          <w:i/>
          <w:iCs/>
          <w:sz w:val="14"/>
          <w:szCs w:val="14"/>
        </w:rPr>
      </w:pPr>
      <w:r w:rsidRPr="00F607F2">
        <w:rPr>
          <w:rFonts w:ascii="Arial" w:eastAsia="Arial" w:hAnsi="Arial" w:cs="Arial"/>
          <w:b/>
          <w:bCs/>
          <w:i/>
          <w:iCs/>
          <w:sz w:val="14"/>
          <w:szCs w:val="14"/>
        </w:rPr>
        <w:t>DATA AVAILABILITY STATEMENT</w:t>
      </w:r>
    </w:p>
    <w:p w14:paraId="7F9D1C2C" w14:textId="77777777" w:rsidR="00F607F2" w:rsidRPr="00F607F2" w:rsidRDefault="00F607F2" w:rsidP="00F607F2">
      <w:pPr>
        <w:rPr>
          <w:rFonts w:ascii="Arial" w:eastAsia="Arial" w:hAnsi="Arial" w:cs="Arial"/>
          <w:i/>
          <w:iCs/>
          <w:sz w:val="14"/>
          <w:szCs w:val="14"/>
        </w:rPr>
      </w:pPr>
      <w:r w:rsidRPr="00F607F2">
        <w:rPr>
          <w:rFonts w:ascii="Arial" w:eastAsia="Arial" w:hAnsi="Arial" w:cs="Arial"/>
          <w:i/>
          <w:iCs/>
          <w:sz w:val="14"/>
          <w:szCs w:val="14"/>
        </w:rPr>
        <w:t xml:space="preserve">The data that support the findings of this study are openly available in </w:t>
      </w:r>
      <w:proofErr w:type="spellStart"/>
      <w:r w:rsidRPr="00F607F2">
        <w:rPr>
          <w:rFonts w:ascii="Arial" w:eastAsia="Arial" w:hAnsi="Arial" w:cs="Arial"/>
          <w:i/>
          <w:iCs/>
          <w:sz w:val="14"/>
          <w:szCs w:val="14"/>
        </w:rPr>
        <w:t>AidData's</w:t>
      </w:r>
      <w:proofErr w:type="spellEnd"/>
      <w:r w:rsidRPr="00F607F2">
        <w:rPr>
          <w:rFonts w:ascii="Arial" w:eastAsia="Arial" w:hAnsi="Arial" w:cs="Arial"/>
          <w:i/>
          <w:iCs/>
          <w:sz w:val="14"/>
          <w:szCs w:val="14"/>
        </w:rPr>
        <w:t xml:space="preserve"> Global Chinese Development Finance Dataset, Version 2.0 at </w:t>
      </w:r>
      <w:hyperlink r:id="rId144" w:history="1">
        <w:r w:rsidRPr="00F607F2">
          <w:rPr>
            <w:rStyle w:val="Hyperlink"/>
            <w:rFonts w:ascii="Arial" w:eastAsia="Arial" w:hAnsi="Arial" w:cs="Arial"/>
            <w:b/>
            <w:bCs/>
            <w:i/>
            <w:iCs/>
            <w:color w:val="auto"/>
            <w:sz w:val="14"/>
            <w:szCs w:val="14"/>
          </w:rPr>
          <w:t>https://www.aiddata.org/data/aiddatas-global-chinese-development-finance-dataset-version-2-0</w:t>
        </w:r>
      </w:hyperlink>
      <w:r w:rsidRPr="00F607F2">
        <w:rPr>
          <w:rFonts w:ascii="Arial" w:eastAsia="Arial" w:hAnsi="Arial" w:cs="Arial"/>
          <w:i/>
          <w:iCs/>
          <w:sz w:val="14"/>
          <w:szCs w:val="14"/>
        </w:rPr>
        <w:t>.</w:t>
      </w:r>
    </w:p>
    <w:p w14:paraId="530F654C" w14:textId="3E9754CA" w:rsidR="00203FFF" w:rsidRPr="00F607F2" w:rsidRDefault="00203FFF" w:rsidP="00F607F2"/>
    <w:sectPr w:rsidR="00203FFF" w:rsidRPr="00F607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A6932"/>
    <w:multiLevelType w:val="multilevel"/>
    <w:tmpl w:val="0480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02435"/>
    <w:multiLevelType w:val="multilevel"/>
    <w:tmpl w:val="7B04A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670E4E"/>
    <w:multiLevelType w:val="multilevel"/>
    <w:tmpl w:val="FC74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572DC"/>
    <w:multiLevelType w:val="multilevel"/>
    <w:tmpl w:val="6D38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443656">
    <w:abstractNumId w:val="0"/>
  </w:num>
  <w:num w:numId="2" w16cid:durableId="1473132118">
    <w:abstractNumId w:val="2"/>
  </w:num>
  <w:num w:numId="3" w16cid:durableId="2027321025">
    <w:abstractNumId w:val="3"/>
  </w:num>
  <w:num w:numId="4" w16cid:durableId="964190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7F2"/>
    <w:rsid w:val="00093EDA"/>
    <w:rsid w:val="00203FFF"/>
    <w:rsid w:val="005D6895"/>
    <w:rsid w:val="00DF0EFA"/>
    <w:rsid w:val="00E26658"/>
    <w:rsid w:val="00F607F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9FCCF"/>
  <w15:chartTrackingRefBased/>
  <w15:docId w15:val="{B8FC2214-75C7-4DDE-91DB-003C0B92D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7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7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7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7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7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7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7F2"/>
    <w:rPr>
      <w:rFonts w:eastAsiaTheme="majorEastAsia" w:cstheme="majorBidi"/>
      <w:color w:val="272727" w:themeColor="text1" w:themeTint="D8"/>
    </w:rPr>
  </w:style>
  <w:style w:type="paragraph" w:styleId="Title">
    <w:name w:val="Title"/>
    <w:basedOn w:val="Normal"/>
    <w:next w:val="Normal"/>
    <w:link w:val="TitleChar"/>
    <w:uiPriority w:val="10"/>
    <w:qFormat/>
    <w:rsid w:val="00F60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7F2"/>
    <w:pPr>
      <w:spacing w:before="160"/>
      <w:jc w:val="center"/>
    </w:pPr>
    <w:rPr>
      <w:i/>
      <w:iCs/>
      <w:color w:val="404040" w:themeColor="text1" w:themeTint="BF"/>
    </w:rPr>
  </w:style>
  <w:style w:type="character" w:customStyle="1" w:styleId="QuoteChar">
    <w:name w:val="Quote Char"/>
    <w:basedOn w:val="DefaultParagraphFont"/>
    <w:link w:val="Quote"/>
    <w:uiPriority w:val="29"/>
    <w:rsid w:val="00F607F2"/>
    <w:rPr>
      <w:i/>
      <w:iCs/>
      <w:color w:val="404040" w:themeColor="text1" w:themeTint="BF"/>
    </w:rPr>
  </w:style>
  <w:style w:type="paragraph" w:styleId="ListParagraph">
    <w:name w:val="List Paragraph"/>
    <w:basedOn w:val="Normal"/>
    <w:uiPriority w:val="34"/>
    <w:qFormat/>
    <w:rsid w:val="00F607F2"/>
    <w:pPr>
      <w:ind w:left="720"/>
      <w:contextualSpacing/>
    </w:pPr>
  </w:style>
  <w:style w:type="character" w:styleId="IntenseEmphasis">
    <w:name w:val="Intense Emphasis"/>
    <w:basedOn w:val="DefaultParagraphFont"/>
    <w:uiPriority w:val="21"/>
    <w:qFormat/>
    <w:rsid w:val="00F607F2"/>
    <w:rPr>
      <w:i/>
      <w:iCs/>
      <w:color w:val="0F4761" w:themeColor="accent1" w:themeShade="BF"/>
    </w:rPr>
  </w:style>
  <w:style w:type="paragraph" w:styleId="IntenseQuote">
    <w:name w:val="Intense Quote"/>
    <w:basedOn w:val="Normal"/>
    <w:next w:val="Normal"/>
    <w:link w:val="IntenseQuoteChar"/>
    <w:uiPriority w:val="30"/>
    <w:qFormat/>
    <w:rsid w:val="00F60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7F2"/>
    <w:rPr>
      <w:i/>
      <w:iCs/>
      <w:color w:val="0F4761" w:themeColor="accent1" w:themeShade="BF"/>
    </w:rPr>
  </w:style>
  <w:style w:type="character" w:styleId="IntenseReference">
    <w:name w:val="Intense Reference"/>
    <w:basedOn w:val="DefaultParagraphFont"/>
    <w:uiPriority w:val="32"/>
    <w:qFormat/>
    <w:rsid w:val="00F607F2"/>
    <w:rPr>
      <w:b/>
      <w:bCs/>
      <w:smallCaps/>
      <w:color w:val="0F4761" w:themeColor="accent1" w:themeShade="BF"/>
      <w:spacing w:val="5"/>
    </w:rPr>
  </w:style>
  <w:style w:type="character" w:styleId="Hyperlink">
    <w:name w:val="Hyperlink"/>
    <w:basedOn w:val="DefaultParagraphFont"/>
    <w:uiPriority w:val="99"/>
    <w:unhideWhenUsed/>
    <w:rsid w:val="00F607F2"/>
    <w:rPr>
      <w:color w:val="467886" w:themeColor="hyperlink"/>
      <w:u w:val="single"/>
    </w:rPr>
  </w:style>
  <w:style w:type="character" w:styleId="UnresolvedMention">
    <w:name w:val="Unresolved Mention"/>
    <w:basedOn w:val="DefaultParagraphFont"/>
    <w:uiPriority w:val="99"/>
    <w:semiHidden/>
    <w:unhideWhenUsed/>
    <w:rsid w:val="00F607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action/downloadFigures?id=dpr12777-fig-0005&amp;partId=&amp;doi=10.1111%2Fdpr.12777" TargetMode="External"/><Relationship Id="rId21" Type="http://schemas.openxmlformats.org/officeDocument/2006/relationships/hyperlink" Target="https://onlinelibrary.wiley.com/doi/full/10.1111/dpr.12777" TargetMode="External"/><Relationship Id="rId42" Type="http://schemas.openxmlformats.org/officeDocument/2006/relationships/hyperlink" Target="https://onlinelibrary.wiley.com/doi/full/10.1111/dpr.12777" TargetMode="External"/><Relationship Id="rId63" Type="http://schemas.openxmlformats.org/officeDocument/2006/relationships/hyperlink" Target="https://onlinelibrary.wiley.com/doi/full/10.1111/dpr.12777" TargetMode="External"/><Relationship Id="rId84" Type="http://schemas.openxmlformats.org/officeDocument/2006/relationships/hyperlink" Target="https://onlinelibrary.wiley.com/doi/full/10.1111/dpr.12777" TargetMode="External"/><Relationship Id="rId138" Type="http://schemas.openxmlformats.org/officeDocument/2006/relationships/hyperlink" Target="https://onlinelibrary.wiley.com/doi/full/10.1111/dpr.12777" TargetMode="External"/><Relationship Id="rId107" Type="http://schemas.openxmlformats.org/officeDocument/2006/relationships/hyperlink" Target="https://onlinelibrary.wiley.com/action/downloadFigures?id=dpr12777-fig-0003&amp;partId=&amp;doi=10.1111%2Fdpr.12777" TargetMode="External"/><Relationship Id="rId11" Type="http://schemas.openxmlformats.org/officeDocument/2006/relationships/hyperlink" Target="https://onlinelibrary.wiley.com/doi/full/10.1111/dpr.12777" TargetMode="External"/><Relationship Id="rId32" Type="http://schemas.openxmlformats.org/officeDocument/2006/relationships/hyperlink" Target="https://onlinelibrary.wiley.com/doi/full/10.1111/dpr.12777" TargetMode="External"/><Relationship Id="rId53" Type="http://schemas.openxmlformats.org/officeDocument/2006/relationships/hyperlink" Target="https://onlinelibrary.wiley.com/doi/full/10.1111/dpr.12777" TargetMode="External"/><Relationship Id="rId74" Type="http://schemas.openxmlformats.org/officeDocument/2006/relationships/hyperlink" Target="https://onlinelibrary.wiley.com/doi/full/10.1111/dpr.12777" TargetMode="External"/><Relationship Id="rId128" Type="http://schemas.openxmlformats.org/officeDocument/2006/relationships/hyperlink" Target="https://onlinelibrary.wiley.com/doi/full/10.1111/dpr.12777" TargetMode="External"/><Relationship Id="rId5" Type="http://schemas.openxmlformats.org/officeDocument/2006/relationships/hyperlink" Target="https://onlinelibrary.wiley.com/authored-by/Doi/Kenichi" TargetMode="External"/><Relationship Id="rId90" Type="http://schemas.openxmlformats.org/officeDocument/2006/relationships/hyperlink" Target="https://onlinelibrary.wiley.com/doi/full/10.1111/dpr.12777" TargetMode="External"/><Relationship Id="rId95" Type="http://schemas.openxmlformats.org/officeDocument/2006/relationships/hyperlink" Target="https://onlinelibrary.wiley.com/doi/full/10.1111/dpr.12777" TargetMode="External"/><Relationship Id="rId22" Type="http://schemas.openxmlformats.org/officeDocument/2006/relationships/hyperlink" Target="https://onlinelibrary.wiley.com/doi/full/10.1111/dpr.12777" TargetMode="External"/><Relationship Id="rId27" Type="http://schemas.openxmlformats.org/officeDocument/2006/relationships/hyperlink" Target="https://onlinelibrary.wiley.com/doi/full/10.1111/dpr.12777" TargetMode="External"/><Relationship Id="rId43" Type="http://schemas.openxmlformats.org/officeDocument/2006/relationships/hyperlink" Target="https://onlinelibrary.wiley.com/doi/full/10.1111/dpr.12777" TargetMode="External"/><Relationship Id="rId48" Type="http://schemas.openxmlformats.org/officeDocument/2006/relationships/hyperlink" Target="https://onlinelibrary.wiley.com/doi/full/10.1111/dpr.12777" TargetMode="External"/><Relationship Id="rId64" Type="http://schemas.openxmlformats.org/officeDocument/2006/relationships/hyperlink" Target="https://onlinelibrary.wiley.com/doi/full/10.1111/dpr.12777" TargetMode="External"/><Relationship Id="rId69" Type="http://schemas.openxmlformats.org/officeDocument/2006/relationships/hyperlink" Target="https://onlinelibrary.wiley.com/doi/full/10.1111/dpr.12777" TargetMode="External"/><Relationship Id="rId113" Type="http://schemas.openxmlformats.org/officeDocument/2006/relationships/hyperlink" Target="https://onlinelibrary.wiley.com/doi/full/10.1111/dpr.12777" TargetMode="External"/><Relationship Id="rId118" Type="http://schemas.openxmlformats.org/officeDocument/2006/relationships/hyperlink" Target="https://onlinelibrary.wiley.com/doi/full/10.1111/dpr.12777" TargetMode="External"/><Relationship Id="rId134" Type="http://schemas.openxmlformats.org/officeDocument/2006/relationships/hyperlink" Target="https://onlinelibrary.wiley.com/cms/asset/e7ca8a0c-a55f-45fa-b080-8d5da093722c/dpr12777-fig-0009-m.jpg" TargetMode="External"/><Relationship Id="rId139" Type="http://schemas.openxmlformats.org/officeDocument/2006/relationships/hyperlink" Target="https://onlinelibrary.wiley.com/doi/full/10.1111/dpr.12777" TargetMode="External"/><Relationship Id="rId80" Type="http://schemas.openxmlformats.org/officeDocument/2006/relationships/hyperlink" Target="https://onlinelibrary.wiley.com/doi/full/10.1111/dpr.12777" TargetMode="External"/><Relationship Id="rId85" Type="http://schemas.openxmlformats.org/officeDocument/2006/relationships/hyperlink" Target="https://onlinelibrary.wiley.com/cms/asset/a45f5281-56e8-4c69-992b-bedf5bfff0f1/dpr12777-fig-0001-m.jpg" TargetMode="External"/><Relationship Id="rId12" Type="http://schemas.openxmlformats.org/officeDocument/2006/relationships/hyperlink" Target="https://onlinelibrary.wiley.com/doi/full/10.1111/dpr.12777" TargetMode="External"/><Relationship Id="rId17" Type="http://schemas.openxmlformats.org/officeDocument/2006/relationships/hyperlink" Target="https://onlinelibrary.wiley.com/doi/full/10.1111/dpr.12777" TargetMode="External"/><Relationship Id="rId33" Type="http://schemas.openxmlformats.org/officeDocument/2006/relationships/hyperlink" Target="https://onlinelibrary.wiley.com/doi/full/10.1111/dpr.12777" TargetMode="External"/><Relationship Id="rId38" Type="http://schemas.openxmlformats.org/officeDocument/2006/relationships/hyperlink" Target="https://onlinelibrary.wiley.com/doi/full/10.1111/dpr.12777" TargetMode="External"/><Relationship Id="rId59" Type="http://schemas.openxmlformats.org/officeDocument/2006/relationships/hyperlink" Target="https://onlinelibrary.wiley.com/doi/full/10.1111/dpr.12777" TargetMode="External"/><Relationship Id="rId103" Type="http://schemas.openxmlformats.org/officeDocument/2006/relationships/hyperlink" Target="https://onlinelibrary.wiley.com/action/downloadFigures?id=dpr12777-fig-0002&amp;partId=&amp;doi=10.1111%2Fdpr.12777" TargetMode="External"/><Relationship Id="rId108" Type="http://schemas.openxmlformats.org/officeDocument/2006/relationships/hyperlink" Target="https://onlinelibrary.wiley.com/doi/full/10.1111/dpr.12777" TargetMode="External"/><Relationship Id="rId124" Type="http://schemas.openxmlformats.org/officeDocument/2006/relationships/hyperlink" Target="https://onlinelibrary.wiley.com/cms/asset/6cc5767a-fc2a-4049-884e-b04ab739d323/dpr12777-fig-0007-m.jpg" TargetMode="External"/><Relationship Id="rId129" Type="http://schemas.openxmlformats.org/officeDocument/2006/relationships/hyperlink" Target="https://onlinelibrary.wiley.com/doi/full/10.1111/dpr.12777" TargetMode="External"/><Relationship Id="rId54" Type="http://schemas.openxmlformats.org/officeDocument/2006/relationships/hyperlink" Target="https://onlinelibrary.wiley.com/doi/full/10.1111/dpr.12777" TargetMode="External"/><Relationship Id="rId70" Type="http://schemas.openxmlformats.org/officeDocument/2006/relationships/hyperlink" Target="https://onlinelibrary.wiley.com/doi/full/10.1111/dpr.12777" TargetMode="External"/><Relationship Id="rId75" Type="http://schemas.openxmlformats.org/officeDocument/2006/relationships/hyperlink" Target="https://onlinelibrary.wiley.com/doi/full/10.1111/dpr.12777" TargetMode="External"/><Relationship Id="rId91" Type="http://schemas.openxmlformats.org/officeDocument/2006/relationships/hyperlink" Target="https://onlinelibrary.wiley.com/doi/full/10.1111/dpr.12777" TargetMode="External"/><Relationship Id="rId96" Type="http://schemas.openxmlformats.org/officeDocument/2006/relationships/hyperlink" Target="https://onlinelibrary.wiley.com/doi/full/10.1111/dpr.12777" TargetMode="External"/><Relationship Id="rId140" Type="http://schemas.openxmlformats.org/officeDocument/2006/relationships/hyperlink" Target="https://onlinelibrary.wiley.com/doi/full/10.1111/dpr.12777" TargetMode="External"/><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onlinelibrary.wiley.com/authored-by/Ikeda/Ami" TargetMode="External"/><Relationship Id="rId23" Type="http://schemas.openxmlformats.org/officeDocument/2006/relationships/hyperlink" Target="https://onlinelibrary.wiley.com/doi/full/10.1111/dpr.12777" TargetMode="External"/><Relationship Id="rId28" Type="http://schemas.openxmlformats.org/officeDocument/2006/relationships/hyperlink" Target="https://onlinelibrary.wiley.com/doi/full/10.1111/dpr.12777" TargetMode="External"/><Relationship Id="rId49" Type="http://schemas.openxmlformats.org/officeDocument/2006/relationships/hyperlink" Target="https://onlinelibrary.wiley.com/doi/full/10.1111/dpr.12777" TargetMode="External"/><Relationship Id="rId114" Type="http://schemas.openxmlformats.org/officeDocument/2006/relationships/hyperlink" Target="https://onlinelibrary.wiley.com/doi/full/10.1111/dpr.12777" TargetMode="External"/><Relationship Id="rId119" Type="http://schemas.openxmlformats.org/officeDocument/2006/relationships/hyperlink" Target="https://onlinelibrary.wiley.com/cms/asset/e90e593a-02c5-428f-a62a-4cf106b4ba08/dpr12777-fig-0006-m.jpg" TargetMode="External"/><Relationship Id="rId44" Type="http://schemas.openxmlformats.org/officeDocument/2006/relationships/hyperlink" Target="https://onlinelibrary.wiley.com/doi/full/10.1111/dpr.12777" TargetMode="External"/><Relationship Id="rId60" Type="http://schemas.openxmlformats.org/officeDocument/2006/relationships/hyperlink" Target="https://onlinelibrary.wiley.com/doi/full/10.1111/dpr.12777" TargetMode="External"/><Relationship Id="rId65" Type="http://schemas.openxmlformats.org/officeDocument/2006/relationships/hyperlink" Target="https://onlinelibrary.wiley.com/doi/full/10.1111/dpr.12777" TargetMode="External"/><Relationship Id="rId81" Type="http://schemas.openxmlformats.org/officeDocument/2006/relationships/hyperlink" Target="https://onlinelibrary.wiley.com/doi/full/10.1111/dpr.12777" TargetMode="External"/><Relationship Id="rId86" Type="http://schemas.openxmlformats.org/officeDocument/2006/relationships/hyperlink" Target="https://onlinelibrary.wiley.com/doi/full/10.1111/dpr.12777" TargetMode="External"/><Relationship Id="rId130" Type="http://schemas.openxmlformats.org/officeDocument/2006/relationships/hyperlink" Target="https://onlinelibrary.wiley.com/cms/asset/973fa090-1c13-4ee6-9392-42e27b902808/dpr12777-fig-0008-m.jpg" TargetMode="External"/><Relationship Id="rId135" Type="http://schemas.openxmlformats.org/officeDocument/2006/relationships/hyperlink" Target="https://onlinelibrary.wiley.com/doi/full/10.1111/dpr.12777" TargetMode="External"/><Relationship Id="rId13" Type="http://schemas.openxmlformats.org/officeDocument/2006/relationships/hyperlink" Target="https://onlinelibrary.wiley.com/doi/full/10.1111/dpr.12777" TargetMode="External"/><Relationship Id="rId18" Type="http://schemas.openxmlformats.org/officeDocument/2006/relationships/hyperlink" Target="https://onlinelibrary.wiley.com/doi/full/10.1111/dpr.12777" TargetMode="External"/><Relationship Id="rId39" Type="http://schemas.openxmlformats.org/officeDocument/2006/relationships/hyperlink" Target="https://onlinelibrary.wiley.com/doi/full/10.1111/dpr.12777" TargetMode="External"/><Relationship Id="rId109" Type="http://schemas.openxmlformats.org/officeDocument/2006/relationships/hyperlink" Target="https://onlinelibrary.wiley.com/cms/asset/724180b4-41d8-47c9-85b4-d740dc13d202/dpr12777-fig-0004-m.jpg" TargetMode="External"/><Relationship Id="rId34" Type="http://schemas.openxmlformats.org/officeDocument/2006/relationships/hyperlink" Target="https://onlinelibrary.wiley.com/doi/full/10.1111/dpr.12777" TargetMode="External"/><Relationship Id="rId50" Type="http://schemas.openxmlformats.org/officeDocument/2006/relationships/hyperlink" Target="https://onlinelibrary.wiley.com/doi/full/10.1111/dpr.12777" TargetMode="External"/><Relationship Id="rId55" Type="http://schemas.openxmlformats.org/officeDocument/2006/relationships/hyperlink" Target="https://onlinelibrary.wiley.com/doi/full/10.1111/dpr.12777" TargetMode="External"/><Relationship Id="rId76" Type="http://schemas.openxmlformats.org/officeDocument/2006/relationships/hyperlink" Target="https://onlinelibrary.wiley.com/doi/full/10.1111/dpr.12777" TargetMode="External"/><Relationship Id="rId97" Type="http://schemas.openxmlformats.org/officeDocument/2006/relationships/hyperlink" Target="https://onlinelibrary.wiley.com/doi/full/10.1111/dpr.12777" TargetMode="External"/><Relationship Id="rId104" Type="http://schemas.openxmlformats.org/officeDocument/2006/relationships/hyperlink" Target="https://onlinelibrary.wiley.com/doi/full/10.1111/dpr.12777" TargetMode="External"/><Relationship Id="rId120" Type="http://schemas.openxmlformats.org/officeDocument/2006/relationships/hyperlink" Target="https://onlinelibrary.wiley.com/doi/full/10.1111/dpr.12777" TargetMode="External"/><Relationship Id="rId125" Type="http://schemas.openxmlformats.org/officeDocument/2006/relationships/hyperlink" Target="https://onlinelibrary.wiley.com/doi/full/10.1111/dpr.12777" TargetMode="External"/><Relationship Id="rId141" Type="http://schemas.openxmlformats.org/officeDocument/2006/relationships/hyperlink" Target="https://onlinelibrary.wiley.com/doi/full/10.1111/dpr.12777" TargetMode="External"/><Relationship Id="rId146" Type="http://schemas.openxmlformats.org/officeDocument/2006/relationships/theme" Target="theme/theme1.xml"/><Relationship Id="rId7" Type="http://schemas.openxmlformats.org/officeDocument/2006/relationships/hyperlink" Target="https://onlinelibrary.wiley.com/authored-by/Murakami/Yuki" TargetMode="External"/><Relationship Id="rId71" Type="http://schemas.openxmlformats.org/officeDocument/2006/relationships/hyperlink" Target="https://onlinelibrary.wiley.com/doi/full/10.1111/dpr.12777" TargetMode="External"/><Relationship Id="rId92" Type="http://schemas.openxmlformats.org/officeDocument/2006/relationships/hyperlink" Target="https://onlinelibrary.wiley.com/doi/full/10.1111/dpr.12777" TargetMode="External"/><Relationship Id="rId2" Type="http://schemas.openxmlformats.org/officeDocument/2006/relationships/styles" Target="styles.xml"/><Relationship Id="rId29" Type="http://schemas.openxmlformats.org/officeDocument/2006/relationships/hyperlink" Target="https://onlinelibrary.wiley.com/doi/full/10.1111/dpr.12777" TargetMode="External"/><Relationship Id="rId24" Type="http://schemas.openxmlformats.org/officeDocument/2006/relationships/hyperlink" Target="https://onlinelibrary.wiley.com/doi/full/10.1111/dpr.12777" TargetMode="External"/><Relationship Id="rId40" Type="http://schemas.openxmlformats.org/officeDocument/2006/relationships/hyperlink" Target="https://onlinelibrary.wiley.com/doi/full/10.1111/dpr.12777" TargetMode="External"/><Relationship Id="rId45" Type="http://schemas.openxmlformats.org/officeDocument/2006/relationships/hyperlink" Target="https://onlinelibrary.wiley.com/doi/full/10.1111/dpr.12777" TargetMode="External"/><Relationship Id="rId66" Type="http://schemas.openxmlformats.org/officeDocument/2006/relationships/hyperlink" Target="https://onlinelibrary.wiley.com/doi/full/10.1111/dpr.12777" TargetMode="External"/><Relationship Id="rId87" Type="http://schemas.openxmlformats.org/officeDocument/2006/relationships/hyperlink" Target="https://onlinelibrary.wiley.com/action/downloadFigures?id=dpr12777-fig-0001&amp;partId=&amp;doi=10.1111%2Fdpr.12777" TargetMode="External"/><Relationship Id="rId110" Type="http://schemas.openxmlformats.org/officeDocument/2006/relationships/hyperlink" Target="https://onlinelibrary.wiley.com/doi/full/10.1111/dpr.12777" TargetMode="External"/><Relationship Id="rId115" Type="http://schemas.openxmlformats.org/officeDocument/2006/relationships/hyperlink" Target="https://onlinelibrary.wiley.com/cms/asset/65aa4032-bb7b-4aef-8b61-f29cb7bcf77c/dpr12777-fig-0005-m.jpg" TargetMode="External"/><Relationship Id="rId131" Type="http://schemas.openxmlformats.org/officeDocument/2006/relationships/hyperlink" Target="https://onlinelibrary.wiley.com/doi/full/10.1111/dpr.12777" TargetMode="External"/><Relationship Id="rId136" Type="http://schemas.openxmlformats.org/officeDocument/2006/relationships/hyperlink" Target="https://onlinelibrary.wiley.com/action/downloadFigures?id=dpr12777-fig-0009&amp;partId=&amp;doi=10.1111%2Fdpr.12777" TargetMode="External"/><Relationship Id="rId61" Type="http://schemas.openxmlformats.org/officeDocument/2006/relationships/hyperlink" Target="https://onlinelibrary.wiley.com/doi/full/10.1111/dpr.12777" TargetMode="External"/><Relationship Id="rId82" Type="http://schemas.openxmlformats.org/officeDocument/2006/relationships/hyperlink" Target="https://onlinelibrary.wiley.com/doi/full/10.1111/dpr.12777" TargetMode="External"/><Relationship Id="rId19" Type="http://schemas.openxmlformats.org/officeDocument/2006/relationships/hyperlink" Target="https://onlinelibrary.wiley.com/doi/full/10.1111/dpr.12777" TargetMode="External"/><Relationship Id="rId14" Type="http://schemas.openxmlformats.org/officeDocument/2006/relationships/hyperlink" Target="https://onlinelibrary.wiley.com/doi/full/10.1111/dpr.12777" TargetMode="External"/><Relationship Id="rId30" Type="http://schemas.openxmlformats.org/officeDocument/2006/relationships/hyperlink" Target="https://onlinelibrary.wiley.com/doi/full/10.1111/dpr.12777" TargetMode="External"/><Relationship Id="rId35" Type="http://schemas.openxmlformats.org/officeDocument/2006/relationships/hyperlink" Target="https://onlinelibrary.wiley.com/doi/full/10.1111/dpr.12777" TargetMode="External"/><Relationship Id="rId56" Type="http://schemas.openxmlformats.org/officeDocument/2006/relationships/hyperlink" Target="https://onlinelibrary.wiley.com/doi/full/10.1111/dpr.12777" TargetMode="External"/><Relationship Id="rId77" Type="http://schemas.openxmlformats.org/officeDocument/2006/relationships/hyperlink" Target="https://onlinelibrary.wiley.com/doi/full/10.1111/dpr.12777" TargetMode="External"/><Relationship Id="rId100" Type="http://schemas.openxmlformats.org/officeDocument/2006/relationships/hyperlink" Target="https://onlinelibrary.wiley.com/doi/full/10.1111/dpr.12777" TargetMode="External"/><Relationship Id="rId105" Type="http://schemas.openxmlformats.org/officeDocument/2006/relationships/hyperlink" Target="https://onlinelibrary.wiley.com/cms/asset/17d2abdb-5c8e-4ce0-a8fc-b82dc5f5196c/dpr12777-fig-0003-m.jpg" TargetMode="External"/><Relationship Id="rId126" Type="http://schemas.openxmlformats.org/officeDocument/2006/relationships/hyperlink" Target="https://onlinelibrary.wiley.com/action/downloadFigures?id=dpr12777-fig-0007&amp;partId=&amp;doi=10.1111%2Fdpr.12777" TargetMode="External"/><Relationship Id="rId8" Type="http://schemas.openxmlformats.org/officeDocument/2006/relationships/hyperlink" Target="https://onlinelibrary.wiley.com/authored-by/Kuroda/Kazuo" TargetMode="External"/><Relationship Id="rId51" Type="http://schemas.openxmlformats.org/officeDocument/2006/relationships/hyperlink" Target="https://onlinelibrary.wiley.com/doi/full/10.1111/dpr.12777" TargetMode="External"/><Relationship Id="rId72" Type="http://schemas.openxmlformats.org/officeDocument/2006/relationships/hyperlink" Target="https://onlinelibrary.wiley.com/doi/full/10.1111/dpr.12777" TargetMode="External"/><Relationship Id="rId93" Type="http://schemas.openxmlformats.org/officeDocument/2006/relationships/hyperlink" Target="https://onlinelibrary.wiley.com/doi/full/10.1111/dpr.12777" TargetMode="External"/><Relationship Id="rId98" Type="http://schemas.openxmlformats.org/officeDocument/2006/relationships/hyperlink" Target="https://onlinelibrary.wiley.com/doi/full/10.1111/dpr.12777" TargetMode="External"/><Relationship Id="rId121" Type="http://schemas.openxmlformats.org/officeDocument/2006/relationships/hyperlink" Target="https://onlinelibrary.wiley.com/action/downloadFigures?id=dpr12777-fig-0006&amp;partId=&amp;doi=10.1111%2Fdpr.12777" TargetMode="External"/><Relationship Id="rId142" Type="http://schemas.openxmlformats.org/officeDocument/2006/relationships/hyperlink" Target="https://onlinelibrary.wiley.com/doi/full/10.1111/dpr.12777" TargetMode="External"/><Relationship Id="rId3" Type="http://schemas.openxmlformats.org/officeDocument/2006/relationships/settings" Target="settings.xml"/><Relationship Id="rId25" Type="http://schemas.openxmlformats.org/officeDocument/2006/relationships/hyperlink" Target="https://onlinelibrary.wiley.com/doi/full/10.1111/dpr.12777" TargetMode="External"/><Relationship Id="rId46" Type="http://schemas.openxmlformats.org/officeDocument/2006/relationships/hyperlink" Target="https://onlinelibrary.wiley.com/doi/full/10.1111/dpr.12777" TargetMode="External"/><Relationship Id="rId67" Type="http://schemas.openxmlformats.org/officeDocument/2006/relationships/hyperlink" Target="https://onlinelibrary.wiley.com/doi/full/10.1111/dpr.12777" TargetMode="External"/><Relationship Id="rId116" Type="http://schemas.openxmlformats.org/officeDocument/2006/relationships/hyperlink" Target="https://onlinelibrary.wiley.com/doi/full/10.1111/dpr.12777" TargetMode="External"/><Relationship Id="rId137" Type="http://schemas.openxmlformats.org/officeDocument/2006/relationships/hyperlink" Target="https://onlinelibrary.wiley.com/doi/full/10.1111/dpr.12777" TargetMode="External"/><Relationship Id="rId20" Type="http://schemas.openxmlformats.org/officeDocument/2006/relationships/hyperlink" Target="https://onlinelibrary.wiley.com/doi/full/10.1111/dpr.12777" TargetMode="External"/><Relationship Id="rId41" Type="http://schemas.openxmlformats.org/officeDocument/2006/relationships/hyperlink" Target="https://onlinelibrary.wiley.com/doi/full/10.1111/dpr.12777" TargetMode="External"/><Relationship Id="rId62" Type="http://schemas.openxmlformats.org/officeDocument/2006/relationships/hyperlink" Target="https://onlinelibrary.wiley.com/doi/full/10.1111/dpr.12777" TargetMode="External"/><Relationship Id="rId83" Type="http://schemas.openxmlformats.org/officeDocument/2006/relationships/hyperlink" Target="https://onlinelibrary.wiley.com/doi/full/10.1111/dpr.12777" TargetMode="External"/><Relationship Id="rId88" Type="http://schemas.openxmlformats.org/officeDocument/2006/relationships/hyperlink" Target="https://onlinelibrary.wiley.com/doi/full/10.1111/dpr.12777" TargetMode="External"/><Relationship Id="rId111" Type="http://schemas.openxmlformats.org/officeDocument/2006/relationships/hyperlink" Target="https://onlinelibrary.wiley.com/action/downloadFigures?id=dpr12777-fig-0004&amp;partId=&amp;doi=10.1111%2Fdpr.12777" TargetMode="External"/><Relationship Id="rId132" Type="http://schemas.openxmlformats.org/officeDocument/2006/relationships/hyperlink" Target="https://onlinelibrary.wiley.com/action/downloadFigures?id=dpr12777-fig-0008&amp;partId=&amp;doi=10.1111%2Fdpr.12777" TargetMode="External"/><Relationship Id="rId15" Type="http://schemas.openxmlformats.org/officeDocument/2006/relationships/hyperlink" Target="https://onlinelibrary.wiley.com/doi/full/10.1111/dpr.12777" TargetMode="External"/><Relationship Id="rId36" Type="http://schemas.openxmlformats.org/officeDocument/2006/relationships/hyperlink" Target="https://onlinelibrary.wiley.com/doi/full/10.1111/dpr.12777" TargetMode="External"/><Relationship Id="rId57" Type="http://schemas.openxmlformats.org/officeDocument/2006/relationships/hyperlink" Target="https://onlinelibrary.wiley.com/doi/full/10.1111/dpr.12777" TargetMode="External"/><Relationship Id="rId106" Type="http://schemas.openxmlformats.org/officeDocument/2006/relationships/hyperlink" Target="https://onlinelibrary.wiley.com/doi/full/10.1111/dpr.12777" TargetMode="External"/><Relationship Id="rId127" Type="http://schemas.openxmlformats.org/officeDocument/2006/relationships/hyperlink" Target="https://onlinelibrary.wiley.com/doi/full/10.1111/dpr.12777" TargetMode="External"/><Relationship Id="rId10" Type="http://schemas.openxmlformats.org/officeDocument/2006/relationships/hyperlink" Target="https://onlinelibrary.wiley.com/doi/full/10.1111/dpr.12777" TargetMode="External"/><Relationship Id="rId31" Type="http://schemas.openxmlformats.org/officeDocument/2006/relationships/hyperlink" Target="https://onlinelibrary.wiley.com/doi/full/10.1111/dpr.12777" TargetMode="External"/><Relationship Id="rId52" Type="http://schemas.openxmlformats.org/officeDocument/2006/relationships/hyperlink" Target="https://onlinelibrary.wiley.com/doi/full/10.1111/dpr.12777" TargetMode="External"/><Relationship Id="rId73" Type="http://schemas.openxmlformats.org/officeDocument/2006/relationships/hyperlink" Target="https://onlinelibrary.wiley.com/doi/full/10.1111/dpr.12777" TargetMode="External"/><Relationship Id="rId78" Type="http://schemas.openxmlformats.org/officeDocument/2006/relationships/hyperlink" Target="https://onlinelibrary.wiley.com/doi/full/10.1111/dpr.12777" TargetMode="External"/><Relationship Id="rId94" Type="http://schemas.openxmlformats.org/officeDocument/2006/relationships/hyperlink" Target="https://onlinelibrary.wiley.com/doi/full/10.1111/dpr.12777" TargetMode="External"/><Relationship Id="rId99" Type="http://schemas.openxmlformats.org/officeDocument/2006/relationships/hyperlink" Target="https://onlinelibrary.wiley.com/doi/full/10.1111/dpr.12777" TargetMode="External"/><Relationship Id="rId101" Type="http://schemas.openxmlformats.org/officeDocument/2006/relationships/hyperlink" Target="https://onlinelibrary.wiley.com/cms/asset/248809f4-c64c-4a40-895b-4cb260289e58/dpr12777-fig-0002-m.jpg" TargetMode="External"/><Relationship Id="rId122" Type="http://schemas.openxmlformats.org/officeDocument/2006/relationships/hyperlink" Target="https://onlinelibrary.wiley.com/doi/full/10.1111/dpr.12777" TargetMode="External"/><Relationship Id="rId143" Type="http://schemas.openxmlformats.org/officeDocument/2006/relationships/hyperlink" Target="https://onlinelibrary.wiley.com/doi/full/10.1111/dpr.12777" TargetMode="External"/><Relationship Id="rId4" Type="http://schemas.openxmlformats.org/officeDocument/2006/relationships/webSettings" Target="webSettings.xml"/><Relationship Id="rId9" Type="http://schemas.openxmlformats.org/officeDocument/2006/relationships/hyperlink" Target="https://doi.org/10.1111/dpr.12777" TargetMode="External"/><Relationship Id="rId26" Type="http://schemas.openxmlformats.org/officeDocument/2006/relationships/hyperlink" Target="https://onlinelibrary.wiley.com/doi/full/10.1111/dpr.12777" TargetMode="External"/><Relationship Id="rId47" Type="http://schemas.openxmlformats.org/officeDocument/2006/relationships/hyperlink" Target="https://onlinelibrary.wiley.com/doi/full/10.1111/dpr.12777" TargetMode="External"/><Relationship Id="rId68" Type="http://schemas.openxmlformats.org/officeDocument/2006/relationships/hyperlink" Target="https://onlinelibrary.wiley.com/doi/full/10.1111/dpr.12777" TargetMode="External"/><Relationship Id="rId89" Type="http://schemas.openxmlformats.org/officeDocument/2006/relationships/hyperlink" Target="https://onlinelibrary.wiley.com/doi/full/10.1111/dpr.12777" TargetMode="External"/><Relationship Id="rId112" Type="http://schemas.openxmlformats.org/officeDocument/2006/relationships/hyperlink" Target="https://onlinelibrary.wiley.com/doi/full/10.1111/dpr.12777" TargetMode="External"/><Relationship Id="rId133" Type="http://schemas.openxmlformats.org/officeDocument/2006/relationships/hyperlink" Target="https://onlinelibrary.wiley.com/doi/full/10.1111/dpr.12777" TargetMode="External"/><Relationship Id="rId16" Type="http://schemas.openxmlformats.org/officeDocument/2006/relationships/hyperlink" Target="https://onlinelibrary.wiley.com/doi/full/10.1111/dpr.12777" TargetMode="External"/><Relationship Id="rId37" Type="http://schemas.openxmlformats.org/officeDocument/2006/relationships/hyperlink" Target="https://onlinelibrary.wiley.com/doi/full/10.1111/dpr.12777" TargetMode="External"/><Relationship Id="rId58" Type="http://schemas.openxmlformats.org/officeDocument/2006/relationships/hyperlink" Target="https://onlinelibrary.wiley.com/doi/full/10.1111/dpr.12777" TargetMode="External"/><Relationship Id="rId79" Type="http://schemas.openxmlformats.org/officeDocument/2006/relationships/hyperlink" Target="https://onlinelibrary.wiley.com/doi/full/10.1111/dpr.12777" TargetMode="External"/><Relationship Id="rId102" Type="http://schemas.openxmlformats.org/officeDocument/2006/relationships/hyperlink" Target="https://onlinelibrary.wiley.com/doi/full/10.1111/dpr.12777" TargetMode="External"/><Relationship Id="rId123" Type="http://schemas.openxmlformats.org/officeDocument/2006/relationships/hyperlink" Target="https://onlinelibrary.wiley.com/doi/full/10.1111/dpr.12777" TargetMode="External"/><Relationship Id="rId144" Type="http://schemas.openxmlformats.org/officeDocument/2006/relationships/hyperlink" Target="https://www.aiddata.org/data/aiddatas-global-chinese-development-finance-dataset-version-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9355</Words>
  <Characters>54638</Characters>
  <Application>Microsoft Office Word</Application>
  <DocSecurity>0</DocSecurity>
  <Lines>942</Lines>
  <Paragraphs>652</Paragraphs>
  <ScaleCrop>false</ScaleCrop>
  <Company/>
  <LinksUpToDate>false</LinksUpToDate>
  <CharactersWithSpaces>63341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Lixin Liu</dc:creator>
  <cp:keywords/>
  <dc:description/>
  <cp:lastModifiedBy>Lixin Liu</cp:lastModifiedBy>
  <cp:revision>1</cp:revision>
  <dcterms:created xsi:type="dcterms:W3CDTF">2026-02-22T00:00:00Z</dcterms:created>
  <dcterms:modified xsi:type="dcterms:W3CDTF">2026-02-22T00:02:00Z</dcterms:modified>
</cp:coreProperties>
</file>