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00"/>
        <w:gridCol w:w="1560"/>
        <w:gridCol w:w="1560"/>
        <w:gridCol w:w="1560"/>
        <w:gridCol w:w="1560"/>
        <w:tblGridChange w:id="0">
          <w:tblGrid>
            <w:gridCol w:w="1320"/>
            <w:gridCol w:w="180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22/07/2023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Iniciar rutina de entrenamiento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Sin continuidad de flujo al seleccionar circuito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 Cabrales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1.- Dar clic en botón "Ejercicios"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shd w:fill="cccccc" w:val="clear"/>
              </w:rPr>
              <w:drawing>
                <wp:inline distB="114300" distT="114300" distL="114300" distR="114300">
                  <wp:extent cx="1440000" cy="3200315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Sin novedad:  Se muestra el menú correspondiente con las siguientes categorías: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-Iniciación     -Perder peso     -Para ir a la playa    .-Ponte en forma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-Concentración     -Movilidad    -Especial     -Asume el desafío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2.- Elegir una categoría y dar clic.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Sin novedad:  Muestra una nueva ventana con las rutinas de entrenamientos creadas de acuerdo a la categoría.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3.- Elegir un entrenamiento y dar clic.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1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Sin Novedad: Se muestra información de la rutina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4.- Dar clic en el ícono de "circuitos"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000" cy="3200894"/>
                  <wp:effectExtent b="25400" l="25400" r="25400" t="2540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894"/>
                          </a:xfrm>
                          <a:prstGeom prst="rect"/>
                          <a:ln w="25400">
                            <a:solidFill>
                              <a:srgbClr val="99999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 muestra el pop-up con opciones de 1 a 5 circuitos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5.- Elegir y dar clic en un número de circuitos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000" cy="3200894"/>
                  <wp:effectExtent b="25400" l="25400" r="25400" t="2540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894"/>
                          </a:xfrm>
                          <a:prstGeom prst="rect"/>
                          <a:ln w="25400">
                            <a:solidFill>
                              <a:srgbClr val="99999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40000" cy="3200894"/>
                  <wp:effectExtent b="25400" l="25400" r="25400" t="2540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894"/>
                          </a:xfrm>
                          <a:prstGeom prst="rect"/>
                          <a:ln w="25400">
                            <a:solidFill>
                              <a:srgbClr val="99999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Al dar clic se selecciona el circuito por medio de una palomita, pero no se cierra el pop-up, ni hay icono o botón de aceptar o skip. No obstante, se puede salir dando clic afuera del pop-up y queda seleccionado.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6.- Dar clic en "Empezar entrenamiento"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000" cy="319968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199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 inicia el primer ejercicio de la rutina de entrenamientos mostrando los botones y animación correspondientes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FnUR6dNNBBuuC50lKiB66adf+w==">CgMxLjA4AHIhMXZkQmg5Q0VEREVDYnZNeG1HQkxrdllfVnFESmNiVXBS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2023-06-21T23:32:00Z</dcterms:created>
</cp:coreProperties>
</file>