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00"/>
        <w:gridCol w:w="1560"/>
        <w:gridCol w:w="1560"/>
        <w:gridCol w:w="1560"/>
        <w:gridCol w:w="1560"/>
        <w:tblGridChange w:id="0">
          <w:tblGrid>
            <w:gridCol w:w="1320"/>
            <w:gridCol w:w="18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22/07/2023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Validar ejecución de entrenamiento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 Cabrales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1.- Dar clic en icono de "circuito" y validar según datos de entrada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3200894"/>
                  <wp:effectExtent b="25400" l="25400" r="25400" t="2540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894"/>
                          </a:xfrm>
                          <a:prstGeom prst="rect"/>
                          <a:ln w="25400">
                            <a:solidFill>
                              <a:srgbClr val="99999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Sin novedad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2.- Dar clic en "Empezar entrenamiento"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8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ejecuta entrenamiento de acuerdo a tiempos de ejecución/descanso y orden de los ejercicios.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yjhyRTxaVt6r2KTkRf2exWNtw==">CgMxLjA4AHIhMUlRRW1OeFJjUUZyMGg5dHNvWmpvbGVqR3E5NjhDRERV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2023-06-21T23:32:00Z</dcterms:created>
</cp:coreProperties>
</file>