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iCs/>
          <w:i/>
        </w:rPr>
        <w:t xml:space="preserve">pendiente — requiere despliegue (ver §Faltantes)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iCs/>
          <w:i/>
        </w:rPr>
        <w:t xml:space="preserve">pendiente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iCs/>
          <w:i/>
        </w:rPr>
        <w:t xml:space="preserve">pendiente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iCs/>
          <w:i/>
        </w:rPr>
        <w:t xml:space="preserve">pendiente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0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0"/>
    <w:bookmarkStart w:id="31" w:name="introducción"/>
    <w:p>
      <w:pPr>
        <w:pStyle w:val="Heading2"/>
      </w:pPr>
      <w:r>
        <w:t xml:space="preserve">1. INTRODUCCIÓN</w:t>
      </w:r>
    </w:p>
    <w:bookmarkStart w:id="22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1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1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1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2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2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3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3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3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3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3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3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3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4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4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4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4"/>
        </w:numPr>
        <w:pStyle w:val="Compact"/>
      </w:pPr>
      <w:r>
        <w:t xml:space="preserve">Dependencia del conocimiento individual de los responsables de las obras.</w:t>
      </w:r>
    </w:p>
    <w:bookmarkStart w:id="21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BlockText"/>
      </w:pPr>
      <w:r>
        <w:rPr>
          <w:bCs/>
          <w:b/>
        </w:rPr>
        <w:t xml:space="preserve">FALTA — gráfico del árbol del problema (Formato B).</w:t>
      </w:r>
      <w:r>
        <w:t xml:space="preserve"> </w:t>
      </w:r>
      <w:r>
        <w:t xml:space="preserve">El árbol está desarrollado en</w:t>
      </w:r>
      <w:r>
        <w:t xml:space="preserve"> </w:t>
      </w:r>
      <w:r>
        <w:t xml:space="preserve">su forma jerárquica (Formato A, arriba), pero el documento de análisis del equipo</w:t>
      </w:r>
      <w:r>
        <w:t xml:space="preserve"> </w:t>
      </w:r>
      <w:r>
        <w:t xml:space="preserve">tiene un marcador de imagen vacío en §2.4. Insumo disponible: la estructura CI/CD/ED/EI</w:t>
      </w:r>
      <w:r>
        <w:t xml:space="preserve"> </w:t>
      </w:r>
      <w:r>
        <w:t xml:space="preserve">de esta misma sección.</w:t>
      </w:r>
    </w:p>
    <w:p>
      <w:pPr>
        <w:pStyle w:val="FirstParagraph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1"/>
    <w:bookmarkEnd w:id="22"/>
    <w:bookmarkStart w:id="23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3"/>
    <w:bookmarkStart w:id="26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4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4"/>
    <w:bookmarkStart w:id="25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25"/>
    <w:bookmarkEnd w:id="26"/>
    <w:bookmarkStart w:id="30" w:name="alcance-y-delimitación"/>
    <w:p>
      <w:pPr>
        <w:pStyle w:val="Heading3"/>
      </w:pPr>
      <w:r>
        <w:t xml:space="preserve">1.4 Alcance y Delimitación</w:t>
      </w:r>
    </w:p>
    <w:bookmarkStart w:id="27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27"/>
    <w:bookmarkStart w:id="28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09"/>
        </w:numPr>
        <w:pStyle w:val="Compact"/>
      </w:pPr>
      <w:r>
        <w:t xml:space="preserve">Contabilidad.</w:t>
      </w:r>
    </w:p>
    <w:p>
      <w:pPr>
        <w:numPr>
          <w:ilvl w:val="0"/>
          <w:numId w:val="1009"/>
        </w:numPr>
        <w:pStyle w:val="Compact"/>
      </w:pPr>
      <w:r>
        <w:t xml:space="preserve">Nómina.</w:t>
      </w:r>
    </w:p>
    <w:p>
      <w:pPr>
        <w:numPr>
          <w:ilvl w:val="0"/>
          <w:numId w:val="1009"/>
        </w:numPr>
        <w:pStyle w:val="Compact"/>
      </w:pPr>
      <w:r>
        <w:t xml:space="preserve">Diseño arquitectónico.</w:t>
      </w:r>
    </w:p>
    <w:p>
      <w:pPr>
        <w:numPr>
          <w:ilvl w:val="0"/>
          <w:numId w:val="1009"/>
        </w:numPr>
        <w:pStyle w:val="Compact"/>
      </w:pPr>
      <w:r>
        <w:t xml:space="preserve">Cálculo estructural.</w:t>
      </w:r>
    </w:p>
    <w:p>
      <w:pPr>
        <w:numPr>
          <w:ilvl w:val="0"/>
          <w:numId w:val="1009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09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1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1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1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28"/>
    <w:bookmarkStart w:id="29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3" w:name="procesos-del-negocio"/>
    <w:p>
      <w:pPr>
        <w:pStyle w:val="Heading2"/>
      </w:pPr>
      <w:r>
        <w:t xml:space="preserve">2. PROCESOS DEL NEGOCIO</w:t>
      </w:r>
    </w:p>
    <w:bookmarkStart w:id="32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está modelado en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 </w:t>
      </w:r>
      <w:r>
        <w:t xml:space="preserve">y el proceso propuesto (TO-BE) en</w:t>
      </w:r>
      <w:r>
        <w:t xml:space="preserve"> </w:t>
      </w:r>
      <w:r>
        <w:rPr>
          <w:rStyle w:val="VerbatimChar"/>
        </w:rPr>
        <w:t xml:space="preserve">docs/bpmn/PROCESO_TO_BE.drawio</w:t>
      </w:r>
      <w:r>
        <w:t xml:space="preserve">, este último con render disponible en</w:t>
      </w:r>
      <w:r>
        <w:t xml:space="preserve"> </w:t>
      </w:r>
      <w:r>
        <w:rPr>
          <w:rStyle w:val="VerbatimChar"/>
        </w:rPr>
        <w:t xml:space="preserve">PROCESO_TO_BE.png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FALTA — render del AS-IS.</w:t>
      </w:r>
      <w:r>
        <w:t xml:space="preserve"> </w:t>
      </w:r>
      <w:r>
        <w:t xml:space="preserve">El diagrama AS-IS existe únicamente como fuente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; a diferencia del TO-BE, no tiene imagen exportada en el repositorio.</w:t>
      </w:r>
      <w:r>
        <w:t xml:space="preserve"> </w:t>
      </w:r>
      <w:r>
        <w:t xml:space="preserve">Se exporta desde el mismo archivo.</w:t>
      </w:r>
    </w:p>
    <w:p>
      <w:pPr>
        <w:pStyle w:val="BlockText"/>
      </w:pPr>
      <w:r>
        <w:rPr>
          <w:bCs/>
          <w:b/>
        </w:rPr>
        <w:t xml:space="preserve">FALTA — diagramas de actividades.</w:t>
      </w:r>
      <w:r>
        <w:t xml:space="preserve"> </w:t>
      </w:r>
      <w:r>
        <w:t xml:space="preserve">El lineamiento pide representar el flujo de</w:t>
      </w:r>
      <w:r>
        <w:t xml:space="preserve"> </w:t>
      </w:r>
      <w:r>
        <w:t xml:space="preserve">trabajo mediante</w:t>
      </w:r>
      <w:r>
        <w:t xml:space="preserve"> </w:t>
      </w:r>
      <w:r>
        <w:rPr>
          <w:bCs/>
          <w:b/>
        </w:rPr>
        <w:t xml:space="preserve">diagramas de actividades</w:t>
      </w:r>
      <w:r>
        <w:t xml:space="preserve">, notación distinta de BPMN. Los BPMN</w:t>
      </w:r>
      <w:r>
        <w:t xml:space="preserve"> </w:t>
      </w:r>
      <w:r>
        <w:t xml:space="preserve">existentes no los sustituyen. Insumo disponible: la tabla de procesos de esta sección</w:t>
      </w:r>
      <w:r>
        <w:t xml:space="preserve"> </w:t>
      </w:r>
      <w:r>
        <w:t xml:space="preserve">y los flujos principales de los 29 casos de uso (§4.2.3).</w:t>
      </w:r>
    </w:p>
    <w:p>
      <w:pPr>
        <w:pStyle w:val="BlockText"/>
      </w:pPr>
      <w:r>
        <w:rPr>
          <w:bCs/>
          <w:b/>
        </w:rPr>
        <w:t xml:space="preserve">FALTA — Documento Visión (anexo).</w:t>
      </w:r>
      <w:r>
        <w:t xml:space="preserve"> </w:t>
      </w:r>
      <w:r>
        <w:t xml:space="preserve">No existe. Insumo disponible: §RESUMEN, §1.1,</w:t>
      </w:r>
      <w:r>
        <w:t xml:space="preserve"> </w:t>
      </w:r>
      <w:r>
        <w:t xml:space="preserve">§1.2 y §1.4 de este informe.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modelo-de-ciclo-de-vida-del-software"/>
    <w:p>
      <w:pPr>
        <w:pStyle w:val="Heading2"/>
      </w:pPr>
      <w:r>
        <w:t xml:space="preserve">3. MODELO DE CICLO DE VIDA DEL SOFTWARE</w:t>
      </w:r>
    </w:p>
    <w:bookmarkStart w:id="34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modelo-de-requerimientos"/>
    <w:p>
      <w:pPr>
        <w:pStyle w:val="Heading2"/>
      </w:pPr>
      <w:r>
        <w:t xml:space="preserve">4. MODELO DE REQUERIMIENTOS</w:t>
      </w:r>
    </w:p>
    <w:bookmarkStart w:id="38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36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36"/>
    <w:bookmarkStart w:id="37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encuentra en</w:t>
      </w:r>
      <w:r>
        <w:t xml:space="preserve"> </w:t>
      </w:r>
      <w:r>
        <w:rPr>
          <w:rStyle w:val="VerbatimChar"/>
        </w:rPr>
        <w:t xml:space="preserve">docs/REQUERIMIENTOS.md</w:t>
      </w:r>
      <w:r>
        <w:t xml:space="preserve">. El detalle de</w:t>
      </w:r>
      <w:r>
        <w:t xml:space="preserve"> </w:t>
      </w:r>
      <w:r>
        <w:t xml:space="preserve">dónde se aplica cada regla de negocio —capa de base de datos, backend o interfaz— está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docs/REGLAS_DE_NEGOCIO.md</w:t>
      </w:r>
      <w:r>
        <w:t xml:space="preserve">.</w:t>
      </w:r>
    </w:p>
    <w:p>
      <w:pPr>
        <w:pStyle w:val="BodyText"/>
      </w:pPr>
      <w:r>
        <w:t xml:space="preserve">Estado de aplicación de las reglas de negocio a la fecha de este informe: RN01, RN02,</w:t>
      </w:r>
      <w:r>
        <w:t xml:space="preserve"> </w:t>
      </w:r>
      <w:r>
        <w:t xml:space="preserve">RN05, RN06, RN07, RN11 y RN14 están implementadas en la base de datos mediante</w:t>
      </w:r>
      <w:r>
        <w:t xml:space="preserve"> </w:t>
      </w:r>
      <w:r>
        <w:t xml:space="preserve">restricciones, disparadores y claves foráneas. RN10 y RN12 requieren los servicios de</w:t>
      </w:r>
      <w:r>
        <w:t xml:space="preserve"> </w:t>
      </w:r>
      <w:r>
        <w:t xml:space="preserve">indicadores y de proyectos, aún no implementados.</w:t>
      </w:r>
    </w:p>
    <w:bookmarkEnd w:id="37"/>
    <w:bookmarkEnd w:id="38"/>
    <w:bookmarkStart w:id="43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39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está en</w:t>
      </w:r>
      <w:r>
        <w:t xml:space="preserve"> </w:t>
      </w:r>
      <w:r>
        <w:rPr>
          <w:rStyle w:val="VerbatimChar"/>
        </w:rPr>
        <w:t xml:space="preserve">docs/casos_de_uso/puml/CU-GENERAL.puml</w:t>
      </w:r>
      <w:r>
        <w:t xml:space="preserve">,</w:t>
      </w:r>
      <w:r>
        <w:t xml:space="preserve"> </w:t>
      </w:r>
      <w:r>
        <w:t xml:space="preserve">con su render en</w:t>
      </w:r>
      <w:r>
        <w:t xml:space="preserve"> </w:t>
      </w:r>
      <w:r>
        <w:rPr>
          <w:rStyle w:val="VerbatimChar"/>
        </w:rPr>
        <w:t xml:space="preserve">CU-GENERAL.png</w:t>
      </w:r>
      <w:r>
        <w:t xml:space="preserve">. Los 29 diagramas individuales están en la misma</w:t>
      </w:r>
      <w:r>
        <w:t xml:space="preserve"> </w:t>
      </w:r>
      <w:r>
        <w:t xml:space="preserve">carpeta, cada uno con su fuente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y su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</w:t>
      </w:r>
    </w:p>
    <w:bookmarkEnd w:id="39"/>
    <w:bookmarkStart w:id="40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0"/>
    <w:bookmarkStart w:id="41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1"/>
    <w:bookmarkStart w:id="42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con sus</w:t>
      </w:r>
      <w:r>
        <w:t xml:space="preserve"> </w:t>
      </w:r>
      <w:r>
        <w:t xml:space="preserve">criterios están en</w:t>
      </w:r>
      <w:r>
        <w:t xml:space="preserve"> </w:t>
      </w:r>
      <w:r>
        <w:rPr>
          <w:rStyle w:val="VerbatimChar"/>
        </w:rPr>
        <w:t xml:space="preserve">docs/HU_CRITERIOS_ACEPTACION.md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HU → sprint está en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t xml:space="preserve">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dependencias y estimación, en</w:t>
      </w:r>
      <w:r>
        <w:t xml:space="preserve"> </w:t>
      </w:r>
      <w:r>
        <w:rPr>
          <w:rStyle w:val="VerbatimChar"/>
        </w:rPr>
        <w:t xml:space="preserve">docs/BACKLOG_PRIORIZADO.md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8" w:name="modelo-de-datos"/>
    <w:p>
      <w:pPr>
        <w:pStyle w:val="Heading2"/>
      </w:pPr>
      <w:r>
        <w:t xml:space="preserve">6. MODELO DE DATOS</w:t>
      </w:r>
    </w:p>
    <w:bookmarkStart w:id="45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está implementado en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 </w:t>
      </w:r>
      <w:r>
        <w:t xml:space="preserve">y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La documentación detallada del esquema está en</w:t>
      </w:r>
      <w:r>
        <w:t xml:space="preserve"> </w:t>
      </w:r>
      <w:r>
        <w:rPr>
          <w:rStyle w:val="VerbatimChar"/>
        </w:rPr>
        <w:t xml:space="preserve">docs/DOCUMENTACION_SQL.md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FALTA — evidencia formal de normalización.</w:t>
      </w:r>
      <w:r>
        <w:t xml:space="preserve"> </w:t>
      </w:r>
      <w:r>
        <w:t xml:space="preserve">El esquema está construido de modo</w:t>
      </w:r>
      <w:r>
        <w:t xml:space="preserve"> </w:t>
      </w:r>
      <w:r>
        <w:t xml:space="preserve">normalizado (entidades separadas, tablas de detalle para las relaciones N:M, sin</w:t>
      </w:r>
      <w:r>
        <w:t xml:space="preserve"> </w:t>
      </w:r>
      <w:r>
        <w:t xml:space="preserve">grupos repetitivos ni dependencias parciales), pero el informe debe</w:t>
      </w:r>
      <w:r>
        <w:t xml:space="preserve"> </w:t>
      </w:r>
      <w:r>
        <w:rPr>
          <w:bCs/>
          <w:b/>
        </w:rPr>
        <w:t xml:space="preserve">demostrar</w:t>
      </w:r>
      <w:r>
        <w:t xml:space="preserve"> </w:t>
      </w:r>
      <w:r>
        <w:t xml:space="preserve">el</w:t>
      </w:r>
      <w:r>
        <w:t xml:space="preserve"> </w:t>
      </w:r>
      <w:r>
        <w:t xml:space="preserve">cumplimiento de 1FN, 2FN y 3FN tabla por tabla. Insumo disponible: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 </w:t>
      </w:r>
      <w:r>
        <w:t xml:space="preserve">completo.</w:t>
      </w:r>
    </w:p>
    <w:bookmarkEnd w:id="45"/>
    <w:bookmarkStart w:id="46" w:name="modelo-entidad-relación"/>
    <w:p>
      <w:pPr>
        <w:pStyle w:val="Heading3"/>
      </w:pPr>
      <w:r>
        <w:t xml:space="preserve">6.2 Modelo Entidad-Relación</w:t>
      </w:r>
    </w:p>
    <w:p>
      <w:pPr>
        <w:pStyle w:val="BlockText"/>
      </w:pPr>
      <w:r>
        <w:rPr>
          <w:bCs/>
          <w:b/>
        </w:rPr>
        <w:t xml:space="preserve">FALTA — diagrama entidad-relación.</w:t>
      </w:r>
      <w:r>
        <w:t xml:space="preserve"> </w:t>
      </w:r>
      <w:r>
        <w:t xml:space="preserve">Producto exigido por el OE2 del enunciado. No</w:t>
      </w:r>
      <w:r>
        <w:t xml:space="preserve"> </w:t>
      </w:r>
      <w:r>
        <w:t xml:space="preserve">existe en el repositorio. Insumo disponible: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, del que se derivan</w:t>
      </w:r>
      <w:r>
        <w:t xml:space="preserve"> </w:t>
      </w:r>
      <w:r>
        <w:t xml:space="preserve">directamente las 27 entidades, sus atributos y las cardinalidades de sus</w:t>
      </w:r>
      <w:r>
        <w:t xml:space="preserve"> </w:t>
      </w:r>
      <w:r>
        <w:t xml:space="preserve">relaciones.</w:t>
      </w:r>
    </w:p>
    <w:bookmarkEnd w:id="46"/>
    <w:bookmarkStart w:id="47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BlockText"/>
      </w:pPr>
      <w:r>
        <w:rPr>
          <w:bCs/>
          <w:b/>
        </w:rPr>
        <w:t xml:space="preserve">FALTA — diagrama de clases.</w:t>
      </w:r>
      <w:r>
        <w:t xml:space="preserve"> </w:t>
      </w:r>
      <w:r>
        <w:t xml:space="preserve">Producto exigido por el OE2 del enunciado. No existe</w:t>
      </w:r>
      <w:r>
        <w:t xml:space="preserve"> </w:t>
      </w:r>
      <w:r>
        <w:t xml:space="preserve">en el repositorio. Insumo disponible: el modelo de datos (§6.1) y la estructura de</w:t>
      </w:r>
      <w:r>
        <w:t xml:space="preserve"> </w:t>
      </w:r>
      <w:r>
        <w:t xml:space="preserve">módulos del backend (</w:t>
      </w:r>
      <w:r>
        <w:rPr>
          <w:rStyle w:val="VerbatimChar"/>
        </w:rPr>
        <w:t xml:space="preserve">backend/src/controllers/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backend/src/routes/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FALTA — arquitectura de software.</w:t>
      </w:r>
      <w:r>
        <w:t xml:space="preserve"> </w:t>
      </w:r>
      <w:r>
        <w:t xml:space="preserve">Producto exigido por el OE2 y no contemplado</w:t>
      </w:r>
      <w:r>
        <w:t xml:space="preserve"> </w:t>
      </w:r>
      <w:r>
        <w:t xml:space="preserve">explícitamente en el lineamiento. Su ausencia deja el OE2 incompleto. Insumo</w:t>
      </w:r>
      <w:r>
        <w:t xml:space="preserve"> </w:t>
      </w:r>
      <w:r>
        <w:t xml:space="preserve">disponible: el stack ya definido (React 18 + Vite en el cliente; Node.js + Express +</w:t>
      </w:r>
      <w:r>
        <w:t xml:space="preserve"> </w:t>
      </w:r>
      <w:r>
        <w:t xml:space="preserve">JWT en el servidor; MySQL 8 como motor) y la organización modular vigente.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nexos-administrativos"/>
    <w:p>
      <w:pPr>
        <w:pStyle w:val="Heading2"/>
      </w:pPr>
      <w:r>
        <w:t xml:space="preserve">ANEXOS ADMINISTRATIVOS</w:t>
      </w:r>
    </w:p>
    <w:p>
      <w:pPr>
        <w:pStyle w:val="BlockText"/>
      </w:pPr>
      <w:r>
        <w:rPr>
          <w:bCs/>
          <w:b/>
        </w:rPr>
        <w:t xml:space="preserve">FALTAN — protocolo de evaluación del desempeño, actas de reuniones y acta de</w:t>
      </w:r>
      <w:r>
        <w:rPr>
          <w:bCs/>
          <w:b/>
        </w:rPr>
        <w:t xml:space="preserve"> </w:t>
      </w:r>
      <w:r>
        <w:rPr>
          <w:bCs/>
          <w:b/>
        </w:rPr>
        <w:t xml:space="preserve">inicio.</w:t>
      </w:r>
      <w:r>
        <w:t xml:space="preserve"> </w:t>
      </w:r>
      <w:r>
        <w:t xml:space="preserve">No existen en el repositorio ni en la documentación del equipo. Son</w:t>
      </w:r>
      <w:r>
        <w:t xml:space="preserve"> </w:t>
      </w:r>
      <w:r>
        <w:t xml:space="preserve">documentos de gestión del equipo y no se pueden derivar de las fuentes técnicas: su</w:t>
      </w:r>
      <w:r>
        <w:t xml:space="preserve"> </w:t>
      </w:r>
      <w:r>
        <w:t xml:space="preserve">elaboración corresponde al Product Owner y al equipo.</w:t>
      </w:r>
    </w:p>
    <w:p>
      <w:r>
        <w:pict>
          <v:rect style="width:0;height:1.5pt" o:hralign="center" o:hrstd="t" o:hr="t"/>
        </w:pict>
      </w:r>
    </w:p>
    <w:bookmarkEnd w:id="49"/>
    <w:bookmarkStart w:id="50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Es una decisión de planificación del equipo, señalada aquí para su revisión.</w:t>
      </w:r>
    </w:p>
    <w:p>
      <w:r>
        <w:pict>
          <v:rect style="width:0;height:1.5pt" o:hralign="center" o:hrstd="t" o:hr="t"/>
        </w:pict>
      </w:r>
    </w:p>
    <w:bookmarkEnd w:id="50"/>
    <w:bookmarkStart w:id="51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7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7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7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7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7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7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7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2026-09-09T23:46:20Z</dcterms:created>
  <dcterms:modified xsi:type="dcterms:W3CDTF">2026-09-09T23:46:20Z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