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t>某某大学本科毕业论文</w:t>
      </w:r>
    </w:p>
    <w:p>
      <w:pPr>
        <w:ind w:firstLine="0"/>
        <w:jc w:val="center"/>
      </w:pPr>
      <w:r>
        <w:t>论文题目：示例论文</w:t>
      </w:r>
    </w:p>
    <w:p>
      <w:pPr>
        <w:sectPr>
          <w:pgSz w:w="11906" w:h="16838"/>
          <w:pgMar w:top="1417" w:right="1417" w:bottom="1417" w:left="1701" w:header="720" w:footer="720" w:gutter="0"/>
          <w:cols w:space="720"/>
          <w:docGrid w:linePitch="360"/>
        </w:sectPr>
      </w:pPr>
    </w:p>
    <w:p>
      <w:pPr>
        <w:pStyle w:val="Heading1"/>
        <w:numPr>
          <w:numId w:val="0"/>
        </w:numPr>
      </w:pPr>
      <w:r>
        <w:t>摘  要</w:t>
      </w:r>
    </w:p>
    <w:p>
      <w:r>
        <w:t>本文以一个虚构的问题为例，说明论文格式体检工具如何工作。全文所有数据均为虚构，只用于测试格式检查是否会误报。</w:t>
      </w:r>
    </w:p>
    <w:p>
      <w:pPr>
        <w:ind w:firstLine="0"/>
      </w:pPr>
      <w:r>
        <w:t>关键词：格式检查；学位论文；误报</w:t>
      </w:r>
    </w:p>
    <w:p>
      <w:pPr>
        <w:pStyle w:val="Heading1"/>
        <w:numPr>
          <w:numId w:val="0"/>
        </w:numPr>
      </w:pPr>
      <w:r>
        <w:t>ABSTRACT</w:t>
      </w:r>
    </w:p>
    <w:p>
      <w:r>
        <w:t>This thesis uses a fictional problem to show how the format checker works. All data are fictional and only used for testing false positives.</w:t>
      </w:r>
    </w:p>
    <w:p>
      <w:pPr>
        <w:pStyle w:val="Heading1"/>
        <w:numPr>
          <w:numId w:val="0"/>
        </w:numPr>
      </w:pPr>
      <w:r>
        <w:t>目  录</w:t>
      </w:r>
    </w:p>
    <w:p>
      <w:pPr>
        <w:ind w:firstLine="0"/>
      </w:pPr>
      <w:r>
        <w:t>第一章 绪论 ........ 1</w:t>
      </w:r>
    </w:p>
    <w:p>
      <w:pPr>
        <w:ind w:firstLine="0"/>
      </w:pPr>
      <w:r>
        <w:t>1.1 研究背景 ........ 1</w:t>
      </w:r>
    </w:p>
    <w:p>
      <w:pPr>
        <w:ind w:firstLine="0"/>
      </w:pPr>
      <w:r>
        <w:t>第二章 研究方法 ........ 2</w:t>
      </w:r>
    </w:p>
    <w:p>
      <w:pPr>
        <w:sectPr>
          <w:footerReference w:type="default" r:id="rId9"/>
          <w:headerReference w:type="default" r:id="rId10"/>
          <w:pgSz w:w="11906" w:h="16838"/>
          <w:pgMar w:top="1417" w:right="1417" w:bottom="1417" w:left="1701" w:header="720" w:footer="720" w:gutter="0"/>
          <w:cols w:space="720"/>
          <w:docGrid w:linePitch="360"/>
          <w:pgNumType w:fmt="upperRoman" w:start="1"/>
        </w:sectPr>
      </w:pPr>
    </w:p>
    <w:p>
      <w:pPr>
        <w:pStyle w:val="Heading1"/>
      </w:pPr>
      <w:r>
        <w:t>绪论</w:t>
      </w:r>
    </w:p>
    <w:p>
      <w:pPr>
        <w:pStyle w:val="Heading2"/>
      </w:pPr>
      <w:r>
        <w:t>研究背景</w:t>
      </w:r>
    </w:p>
    <w:p>
      <w:r>
        <w:t>近年来，深度学习（Deep Learning）在计算机视觉、自然语言处理等领域取得了显著进展[1]。生成式人工智能（Generative AI）的快速发展也开始深刻影响高等教育的教学与评价方式[2]。</w:t>
      </w:r>
    </w:p>
    <w:p>
      <w:r>
        <w:t>与此同时，学位论文的格式规范日益受到重视。以往研究多关注论文的内容质量[3]，对格式检查工具的讨论较少，本文尝试补充这一方面的工作。</w:t>
      </w:r>
    </w:p>
    <w:p>
      <w:pPr>
        <w:pStyle w:val="Heading2"/>
      </w:pPr>
      <w:r>
        <w:t>研究意义</w:t>
      </w:r>
    </w:p>
    <w:p>
      <w:r>
        <w:t>本研究的意义主要体现在两个方面：一是为学生提供便捷的自查工具，二是减轻指导教师的重复劳动。教育主管部门近年也发布了加强学位论文管理的相关通知[4]。</w:t>
      </w:r>
    </w:p>
    <w:p>
      <w:pPr>
        <w:pStyle w:val="Heading2"/>
      </w:pPr>
      <w:r>
        <w:t>论文结构</w:t>
      </w:r>
    </w:p>
    <w:p>
      <w:r>
        <w:t>全文共分为四章。第一章为绪论；第二章介绍相关技术；第三章给出系统设计；第四章总结全文并展望后续工作。</w:t>
      </w:r>
    </w:p>
    <w:p>
      <w:pPr>
        <w:pStyle w:val="Heading1"/>
      </w:pPr>
      <w:r>
        <w:t>研究方法</w:t>
      </w:r>
    </w:p>
    <w:p>
      <w:pPr>
        <w:pStyle w:val="Heading2"/>
      </w:pPr>
      <w:r>
        <w:t>研究步骤</w:t>
      </w:r>
    </w:p>
    <w:p>
      <w:r>
        <w:t>本研究按以下步骤进行，每一步都有明确的输入和输出：</w:t>
      </w:r>
    </w:p>
    <w:p>
      <w:r>
        <w:t>（1）数据收集：从公开渠道收集近五年的本科毕业论文模板，共计 120 份。</w:t>
      </w:r>
    </w:p>
    <w:p>
      <w:r>
        <w:t>（2）规则整理：逐条整理各校的格式要求，形成结构化的规则档案。</w:t>
      </w:r>
    </w:p>
    <w:p>
      <w:r>
        <w:t>（3）工具实现：在浏览器中实现解析和检查逻辑，不上传任何文件。</w:t>
      </w:r>
    </w:p>
    <w:p>
      <w:pPr>
        <w:pStyle w:val="Heading2"/>
      </w:pPr>
      <w:r>
        <w:t>评价指标</w:t>
      </w:r>
    </w:p>
    <w:p>
      <w:r>
        <w:t>评价时主要关注以下指标，它们分别从不同角度反映检查工具的效果：</w:t>
      </w:r>
    </w:p>
    <w:p>
      <w:pPr>
        <w:numPr>
          <w:ilvl w:val="0"/>
          <w:numId w:val="91"/>
        </w:numPr>
      </w:pPr>
      <w:r>
        <w:t>误报率，即合格的论文被报告为有问题的比例；</w:t>
      </w:r>
    </w:p>
    <w:p>
      <w:pPr>
        <w:numPr>
          <w:ilvl w:val="0"/>
          <w:numId w:val="91"/>
        </w:numPr>
      </w:pPr>
      <w:r>
        <w:t>漏报率，即有问题的论文没有被检出的比例；</w:t>
      </w:r>
    </w:p>
    <w:p>
      <w:pPr>
        <w:numPr>
          <w:ilvl w:val="0"/>
          <w:numId w:val="91"/>
        </w:numPr>
      </w:pPr>
      <w:r>
        <w:t>运行时间，即从上传文件到生成报告所需的时间。</w:t>
      </w:r>
    </w:p>
    <w:p>
      <w:r>
        <w:t>1）首先计算误报率；2）然后计算漏报率；3）最后统计运行时间。三个指标综合起来评价工具。</w:t>
      </w:r>
    </w:p>
    <w:p>
      <w:pPr>
        <w:pStyle w:val="Heading3"/>
      </w:pPr>
      <w:r>
        <w:t>指标计算</w:t>
      </w:r>
    </w:p>
    <w:p>
      <w:r>
        <w:t>第一，误报率按样例数计算；第二，漏报率按错误点计算，这样可以避免一个样例里的多处错误被合并。</w:t>
      </w:r>
    </w:p>
    <w:p>
      <w:pPr>
        <w:pStyle w:val="Heading1"/>
      </w:pPr>
      <w:r>
        <w:t>系统设计</w:t>
      </w:r>
    </w:p>
    <w:p>
      <w:pPr>
        <w:pStyle w:val="Heading2"/>
      </w:pPr>
      <w:r>
        <w:t>总体架构</w:t>
      </w:r>
    </w:p>
    <w:p>
      <w:r>
        <w:t>系统由文件解析、结构识别、规则检查和报告生成四个模块组成，各模块之间通过统一的数据结构交换信息。</w:t>
      </w:r>
    </w:p>
    <w:p>
      <w:pPr>
        <w:pStyle w:val="Heading2"/>
      </w:pPr>
      <w:r>
        <w:t>模块划分</w:t>
      </w:r>
    </w:p>
    <w:p>
      <w:r>
        <w:t>文件解析模块负责读取 docx 文件，结构识别模块负责划分前置部分、正文和参考文献，规则检查模块逐项比对学校要求。</w:t>
      </w:r>
    </w:p>
    <w:p>
      <w:pPr>
        <w:pStyle w:val="Heading1"/>
      </w:pPr>
      <w:r>
        <w:t>总结与展望</w:t>
      </w:r>
    </w:p>
    <w:p>
      <w:r>
        <w:t>本文完成了一个论文格式体检工具的原型，后续将补充更多学校的规则档案，并改进结构识别的准确率。</w:t>
      </w:r>
    </w:p>
    <w:p>
      <w:r>
        <w:t>系统的核心模型采用 Transformer 结构[5]，这里不再赘述其原理。</w:t>
      </w:r>
    </w:p>
    <w:p>
      <w:pPr>
        <w:pStyle w:val="Heading1"/>
        <w:numPr>
          <w:numId w:val="0"/>
        </w:numPr>
      </w:pPr>
      <w:r>
        <w:t>参考文献</w:t>
      </w:r>
    </w:p>
    <w:p>
      <w:pPr>
        <w:numPr>
          <w:ilvl w:val="0"/>
          <w:numId w:val="92"/>
        </w:numPr>
        <w:ind/>
      </w:pPr>
      <w:r>
        <w:rPr>
          <w:rFonts w:ascii="Times New Roman" w:hAnsi="Times New Roman" w:eastAsia="宋体"/>
          <w:sz w:val="21"/>
        </w:rPr>
        <w:t>LeCun Y, Bengio Y, Hinton G. Deep learning[J]. Nature, 2015, 521(7553): 436-444.</w:t>
      </w:r>
    </w:p>
    <w:p>
      <w:pPr>
        <w:numPr>
          <w:ilvl w:val="0"/>
          <w:numId w:val="92"/>
        </w:numPr>
        <w:ind/>
      </w:pPr>
      <w:r>
        <w:rPr>
          <w:rFonts w:ascii="Times New Roman" w:hAnsi="Times New Roman" w:eastAsia="宋体"/>
          <w:sz w:val="21"/>
        </w:rPr>
        <w:t>张三, 李四. 生成式人工智能对高等教育的影响研究[J]. 中国高教研究, 2024(3): 12-19.</w:t>
      </w:r>
    </w:p>
    <w:p>
      <w:pPr>
        <w:numPr>
          <w:ilvl w:val="0"/>
          <w:numId w:val="92"/>
        </w:numPr>
        <w:ind/>
      </w:pPr>
      <w:r>
        <w:rPr>
          <w:rFonts w:ascii="Times New Roman" w:hAnsi="Times New Roman" w:eastAsia="宋体"/>
          <w:sz w:val="21"/>
        </w:rPr>
        <w:t>王五. 某某问题研究[D]. 北京: 北京大学, 2020.</w:t>
      </w:r>
    </w:p>
    <w:p>
      <w:pPr>
        <w:numPr>
          <w:ilvl w:val="0"/>
          <w:numId w:val="92"/>
        </w:numPr>
        <w:ind/>
      </w:pPr>
      <w:r>
        <w:rPr>
          <w:rFonts w:ascii="Times New Roman" w:hAnsi="Times New Roman" w:eastAsia="宋体"/>
          <w:sz w:val="21"/>
        </w:rPr>
        <w:t>教育部. 关于某事项的通知[EB/OL]. (2025-03-01)[2026-10-01]. http://www.moe.gov.cn/x.html.</w:t>
      </w:r>
    </w:p>
    <w:p>
      <w:pPr>
        <w:numPr>
          <w:ilvl w:val="0"/>
          <w:numId w:val="92"/>
        </w:numPr>
        <w:ind/>
      </w:pPr>
      <w:r>
        <w:rPr>
          <w:rFonts w:ascii="Times New Roman" w:hAnsi="Times New Roman" w:eastAsia="宋体"/>
          <w:sz w:val="21"/>
        </w:rPr>
        <w:t>Vaswani A, Shazeer N, Parmar N, et al. Attention is all you need[C]//Proceedings of the 31st International Conference on Neural Information Processing Systems. Long Beach: Curran Associates, 2017: 6000-6010.</w:t>
      </w:r>
    </w:p>
    <w:p>
      <w:pPr>
        <w:pStyle w:val="Heading1"/>
        <w:numPr>
          <w:numId w:val="0"/>
        </w:numPr>
      </w:pPr>
      <w:r>
        <w:t>致  谢</w:t>
      </w:r>
    </w:p>
    <w:p>
      <w:r>
        <w:t>感谢指导教师在论文写作过程中给予的帮助，也感谢同学们的支持。</w:t>
      </w:r>
    </w:p>
    <w:sectPr w:rsidR="00FC693F" w:rsidRPr="0006063C" w:rsidSect="00034616">
      <w:footerReference w:type="default" r:id="rId11"/>
      <w:headerReference w:type="default" r:id="rId12"/>
      <w:pgSz w:w="11906" w:h="16838"/>
      <w:pgMar w:top="1417" w:right="1417" w:bottom="1417" w:left="1701" w:header="720" w:footer="720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 PAGE 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某某大学本科毕业论文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某某大学本科毕业论文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multilevel"/>
    <w:lvl w:ilvl="0">
      <w:start w:val="1"/>
      <w:numFmt w:val="chineseCounting"/>
      <w:pStyle w:val="Heading1"/>
      <w:suff w:val="space"/>
      <w:lvlText w:val="第%1章"/>
      <w:lvlJc w:val="left"/>
      <w:pPr>
        <w:ind w:left="0" w:hanging="0"/>
      </w:pPr>
    </w:lvl>
    <w:lvl w:ilvl="1">
      <w:start w:val="1"/>
      <w:numFmt w:val="decimal"/>
      <w:pStyle w:val="Heading2"/>
      <w:isLgl/>
      <w:suff w:val="space"/>
      <w:lvlText w:val="%1.%2"/>
      <w:lvlJc w:val="left"/>
      <w:pPr>
        <w:ind w:left="0" w:hanging="0"/>
      </w:pPr>
    </w:lvl>
    <w:lvl w:ilvl="2">
      <w:start w:val="1"/>
      <w:numFmt w:val="decimal"/>
      <w:pStyle w:val="Heading3"/>
      <w:isLgl/>
      <w:suff w:val="space"/>
      <w:lvlText w:val="%1.%2.%3"/>
      <w:lvlJc w:val="left"/>
      <w:pPr>
        <w:ind w:left="0" w:hanging="0"/>
      </w:pPr>
    </w:lvl>
  </w:abstractNum>
  <w:abstractNum w:abstractNumId="91">
    <w:multiLevelType w:val="hybridMultilevel"/>
    <w:lvl w:ilvl="0">
      <w:start w:val="1"/>
      <w:numFmt w:val="decimal"/>
      <w:suff w:val="tab"/>
      <w:lvlText w:val="%1."/>
      <w:lvlJc w:val="left"/>
      <w:pPr>
        <w:ind w:left="840" w:hanging="360"/>
      </w:pPr>
    </w:lvl>
  </w:abstractNum>
  <w:abstractNum w:abstractNumId="92">
    <w:multiLevelType w:val="singleLevel"/>
    <w:lvl w:ilvl="0">
      <w:start w:val="1"/>
      <w:numFmt w:val="decimal"/>
      <w:suff w:val="tab"/>
      <w:lvlText w:val="[%1]"/>
      <w:lvlJc w:val="left"/>
      <w:pPr>
        <w:ind w:left="420" w:hanging="42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  <w:num w:numId="91">
    <w:abstractNumId w:val="91"/>
  </w:num>
  <w:num w:numId="92">
    <w:abstractNumId w:val="9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jc w:val="both"/>
      <w:ind w:firstLineChars="200" w:firstLine="4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numId w:val="90"/>
      </w:numPr>
      <w:spacing w:before="480" w:after="0"/>
      <w:ind w:firstLine="0"/>
      <w:jc w:val="center"/>
      <w:outlineLvl w:val="0"/>
    </w:pPr>
    <w:rPr>
      <w:rFonts w:cstheme="majorBidi" w:ascii="Times New Roman" w:hAnsi="Times New Roman" w:eastAsia="黑体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numPr>
        <w:ilvl w:val="1"/>
        <w:numId w:val="90"/>
      </w:numPr>
      <w:spacing w:before="200" w:after="0"/>
      <w:ind w:firstLine="0"/>
      <w:jc w:val="left"/>
      <w:outlineLvl w:val="1"/>
    </w:pPr>
    <w:rPr>
      <w:rFonts w:cstheme="majorBidi" w:ascii="Times New Roman" w:hAnsi="Times New Roman" w:eastAsia="黑体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numPr>
        <w:ilvl w:val="2"/>
        <w:numId w:val="90"/>
      </w:numPr>
      <w:spacing w:before="200" w:after="0"/>
      <w:ind w:firstLine="0"/>
      <w:jc w:val="left"/>
      <w:outlineLvl w:val="2"/>
    </w:pPr>
    <w:rPr>
      <w:rFonts w:cstheme="majorBidi" w:ascii="Times New Roman" w:hAnsi="Times New Roman" w:eastAsia="黑体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ind w:firstLine="0"/>
      <w:jc w:val="center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2026-03-01T00:00:00Z</dcterms:created>
  <dcterms:modified xsi:type="dcterms:W3CDTF">2026-03-01T00:00:00Z</dcterms:modified>
  <cp:category/>
</cp:coreProperties>
</file>