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se probó con una línea base manual (sección 9.7).</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Fuente de los puntajes del agente B. </w:t>
      </w:r>
      <w:r>
        <w:rPr>
          <w:b w:val="0"/>
        </w:rPr>
        <w:t>El documento de diseño completo de Cartrescue-agent no estaba disponible al elaborar esta versión. Sus puntajes se sustentan en la descripción oficial del caso (Intelligent Agents – Use Cases, p. 3) y en las características del conjunto público REES46, no en el diseño del compañero; por eso se marcan como «caso de uso». Los del agente A se apoyan en su diseño y en el prototipo construido, lo que puede sesgar la comparación a favor de A. Los integrantes deben contrastar las filas de B con su diseño real y, si cambian, volver a ejecutar «python scripts/matriz_decision.py» después de editar docs/matriz_decision.json.</w:t>
      </w:r>
    </w:p>
    <w:p>
      <w:pPr>
        <w:keepNext/>
        <w:spacing w:after="40"/>
      </w:pPr>
      <w:r>
        <w:rPr>
          <w:b/>
          <w:i w:val="0"/>
          <w:sz w:val="17"/>
        </w:rPr>
        <w:t>Tabla A1. Matriz de decisión ponderada (A = CREDITSCORE-AGENT; B = Cartrescue-agent, puntajes según el caso de uso)</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Caso de uso de Cartrescue (Intelligent Agents – Use Cases, p. 3). El caso describe percepción de eventos de carrito, un modelo de probabilidad de abandono, una decisión de intervención según el desempeño histórico y actuadores de correo o descuentos. Cinco de esos seis componentes (percepción simulada, modelo de probabilidad, decisión, actuadores simulados y registro de resultados con aprendizaje) ya se implementaron en el otro agente; falta la captura en tiempo real en el navegador (movimiento del ratón).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4</w:t>
            </w:r>
          </w:p>
        </w:tc>
        <w:tc>
          <w:tcPr>
            <w:tcW w:type="dxa" w:w="2948"/>
          </w:tcPr>
          <w:p>
            <w:pPr>
              <w:spacing w:after="0"/>
            </w:pPr>
            <w:r/>
            <w:r>
              <w:rPr>
                <w:b w:val="0"/>
                <w:sz w:val="14"/>
              </w:rPr>
              <w:t>Caso de uso de Cartrescue (Intelligent Agents – Use Cases, p. 3). El caso recomienda usar el clickstream de la tienda o, alternativamente, el conjunto público REES46 (más de 30 millones de eventos). REES46 trae eventos view, cart, remove_from_cart y purchase por sesión, de los que se puede derivar el abandono; no trae movimientos del ratón ni respuestas a intervenciones, que habría que simular.</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se probó con una línea base manual simulada (3,6 s sobre 10 solicitudes), sin digitación ni consulta real al buró.</w:t>
            </w:r>
          </w:p>
        </w:tc>
        <w:tc>
          <w:tcPr>
            <w:tcW w:type="dxa" w:w="737"/>
          </w:tcPr>
          <w:p>
            <w:pPr>
              <w:spacing w:after="0"/>
            </w:pPr>
            <w:r/>
            <w:r>
              <w:rPr>
                <w:b w:val="0"/>
                <w:sz w:val="14"/>
              </w:rPr>
              <w:t>3</w:t>
            </w:r>
          </w:p>
        </w:tc>
        <w:tc>
          <w:tcPr>
            <w:tcW w:type="dxa" w:w="2948"/>
          </w:tcPr>
          <w:p>
            <w:pPr>
              <w:spacing w:after="0"/>
            </w:pPr>
            <w:r/>
            <w:r>
              <w:rPr>
                <w:b w:val="0"/>
                <w:sz w:val="14"/>
              </w:rPr>
              <w:t>Caso de uso de Cartrescue (Intelligent Agents – Use Cases, p. 3). La meta del caso (recuperar al menos 15 % más de carritos que la tasa actual durante tres semanas) exige una tienda piloto, una tasa base real y un grupo de comparación; con datos simulados el efecto lo fijaría el propio simulador. Sí se pueden medir sin tienda el AUC del modelo de abandono y la latencia.</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4</w:t>
            </w:r>
          </w:p>
        </w:tc>
        <w:tc>
          <w:tcPr>
            <w:tcW w:type="dxa" w:w="2948"/>
          </w:tcPr>
          <w:p>
            <w:pPr>
              <w:spacing w:after="0"/>
            </w:pPr>
            <w:r/>
            <w:r>
              <w:rPr>
                <w:b w:val="0"/>
                <w:sz w:val="14"/>
              </w:rPr>
              <w:t>Caso de uso de Cartrescue (Intelligent Agents – Use Cases, p. 3). Un modelo estima la probabilidad de abandono y la intervención (recordatorio, descuento o producto alternativo) se elige según el perfil y el desempeño histórico por tipo, registrando el resultado para refinar la estrategia: agente de aprendizaje con decisión por utilidad. No llega a 5 porque el caso no menciona detección de deriva ni abstención por incertidumbre.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Caso de uso de Cartrescue (Intelligent Agents – Use Cases, p. 3). El caso exige una tienda piloto durante tres semanas, un servicio de correo o notificaciones push y un motor de descuentos. Pueden simularse sin costo, pero una prueba real requeriría permisos y servicios con cuota.</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Caso de uso de Cartrescue (Intelligent Agents – Use Cases, p. 3). Usuario identificable (la tienda en línea) y beneficio concreto (carritos recuperados, es decir, ventas); el caso cita la fuente de diseño de Datagrid sobre el ROI del abandono de carritos. El beneficio no se verificó con datos reales.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3,70</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+ 0,20×4 + 0,20×3 + 0,15×4 + 0,10×3 + 0,10×4 = 3,70</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Hay un empate: «Disponibilidad de datos o entorno», «Medibilidad del desempeño», «Costo y recursos» aportan 0,20 puntos cada uno. Como el empate impide elegir uno solo, se probó cada uno de ellos con +10 y −10 puntos porcentuales de peso, reescalando los demás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3,700</w:t>
            </w:r>
          </w:p>
        </w:tc>
        <w:tc>
          <w:tcPr>
            <w:tcW w:type="dxa" w:w="907"/>
          </w:tcPr>
          <w:p>
            <w:pPr>
              <w:spacing w:after="0"/>
            </w:pPr>
            <w:r/>
            <w:r>
              <w:rPr>
                <w:b w:val="0"/>
                <w:sz w:val="16"/>
              </w:rPr>
              <w:t>A</w:t>
            </w:r>
          </w:p>
        </w:tc>
      </w:tr>
      <w:tr>
        <w:trPr>
          <w:cantSplit w:val="true"/>
        </w:trPr>
        <w:tc>
          <w:tcPr>
            <w:tcW w:type="dxa" w:w="2494"/>
          </w:tcPr>
          <w:p>
            <w:pPr>
              <w:spacing w:after="0"/>
            </w:pPr>
            <w:r/>
            <w:r>
              <w:rPr>
                <w:b w:val="0"/>
                <w:sz w:val="16"/>
              </w:rPr>
              <w:t>Disponibilidad de datos o entorno +10 pp</w:t>
            </w:r>
          </w:p>
        </w:tc>
        <w:tc>
          <w:tcPr>
            <w:tcW w:type="dxa" w:w="3628"/>
          </w:tcPr>
          <w:p>
            <w:pPr>
              <w:spacing w:after="0"/>
            </w:pPr>
            <w:r/>
            <w:r>
              <w:rPr>
                <w:b w:val="0"/>
                <w:sz w:val="16"/>
              </w:rPr>
              <w:t>21,9 / 30,0 / 17,5 / 13,1 / 8,8 / 8,8</w:t>
            </w:r>
          </w:p>
        </w:tc>
        <w:tc>
          <w:tcPr>
            <w:tcW w:type="dxa" w:w="850"/>
          </w:tcPr>
          <w:p>
            <w:pPr>
              <w:spacing w:after="0"/>
            </w:pPr>
            <w:r/>
            <w:r>
              <w:rPr>
                <w:b w:val="0"/>
                <w:sz w:val="16"/>
              </w:rPr>
              <w:t>3,919</w:t>
            </w:r>
          </w:p>
        </w:tc>
        <w:tc>
          <w:tcPr>
            <w:tcW w:type="dxa" w:w="850"/>
          </w:tcPr>
          <w:p>
            <w:pPr>
              <w:spacing w:after="0"/>
            </w:pPr>
            <w:r/>
            <w:r>
              <w:rPr>
                <w:b w:val="0"/>
                <w:sz w:val="16"/>
              </w:rPr>
              <w:t>3,737</w:t>
            </w:r>
          </w:p>
        </w:tc>
        <w:tc>
          <w:tcPr>
            <w:tcW w:type="dxa" w:w="907"/>
          </w:tcPr>
          <w:p>
            <w:pPr>
              <w:spacing w:after="0"/>
            </w:pPr>
            <w:r/>
            <w:r>
              <w:rPr>
                <w:b w:val="0"/>
                <w:sz w:val="16"/>
              </w:rPr>
              <w:t>A</w:t>
            </w:r>
          </w:p>
        </w:tc>
      </w:tr>
      <w:tr>
        <w:trPr>
          <w:cantSplit w:val="true"/>
        </w:trPr>
        <w:tc>
          <w:tcPr>
            <w:tcW w:type="dxa" w:w="2494"/>
          </w:tcPr>
          <w:p>
            <w:pPr>
              <w:spacing w:after="0"/>
            </w:pPr>
            <w:r/>
            <w:r>
              <w:rPr>
                <w:b w:val="0"/>
                <w:sz w:val="16"/>
              </w:rPr>
              <w:t>Disponibilidad de datos o entorno -10 pp</w:t>
            </w:r>
          </w:p>
        </w:tc>
        <w:tc>
          <w:tcPr>
            <w:tcW w:type="dxa" w:w="3628"/>
          </w:tcPr>
          <w:p>
            <w:pPr>
              <w:spacing w:after="0"/>
            </w:pPr>
            <w:r/>
            <w:r>
              <w:rPr>
                <w:b w:val="0"/>
                <w:sz w:val="16"/>
              </w:rPr>
              <w:t>28,1 / 10,0 / 22,5 / 16,9 / 11,2 / 11,2</w:t>
            </w:r>
          </w:p>
        </w:tc>
        <w:tc>
          <w:tcPr>
            <w:tcW w:type="dxa" w:w="850"/>
          </w:tcPr>
          <w:p>
            <w:pPr>
              <w:spacing w:after="0"/>
            </w:pPr>
            <w:r/>
            <w:r>
              <w:rPr>
                <w:b w:val="0"/>
                <w:sz w:val="16"/>
              </w:rPr>
              <w:t>4,181</w:t>
            </w:r>
          </w:p>
        </w:tc>
        <w:tc>
          <w:tcPr>
            <w:tcW w:type="dxa" w:w="850"/>
          </w:tcPr>
          <w:p>
            <w:pPr>
              <w:spacing w:after="0"/>
            </w:pPr>
            <w:r/>
            <w:r>
              <w:rPr>
                <w:b w:val="0"/>
                <w:sz w:val="16"/>
              </w:rPr>
              <w:t>3,663</w:t>
            </w:r>
          </w:p>
        </w:tc>
        <w:tc>
          <w:tcPr>
            <w:tcW w:type="dxa" w:w="907"/>
          </w:tcPr>
          <w:p>
            <w:pPr>
              <w:spacing w:after="0"/>
            </w:pPr>
            <w:r/>
            <w:r>
              <w:rPr>
                <w:b w:val="0"/>
                <w:sz w:val="16"/>
              </w:rPr>
              <w:t>A</w:t>
            </w:r>
          </w:p>
        </w:tc>
      </w:tr>
      <w:tr>
        <w:trPr>
          <w:cantSplit w:val="true"/>
        </w:trPr>
        <w:tc>
          <w:tcPr>
            <w:tcW w:type="dxa" w:w="2494"/>
          </w:tcPr>
          <w:p>
            <w:pPr>
              <w:spacing w:after="0"/>
            </w:pPr>
            <w:r/>
            <w:r>
              <w:rPr>
                <w:b w:val="0"/>
                <w:sz w:val="16"/>
              </w:rPr>
              <w:t>Medibilidad del desempeño +10 pp</w:t>
            </w:r>
          </w:p>
        </w:tc>
        <w:tc>
          <w:tcPr>
            <w:tcW w:type="dxa" w:w="3628"/>
          </w:tcPr>
          <w:p>
            <w:pPr>
              <w:spacing w:after="0"/>
            </w:pPr>
            <w:r/>
            <w:r>
              <w:rPr>
                <w:b w:val="0"/>
                <w:sz w:val="16"/>
              </w:rPr>
              <w:t>21,9 / 17,5 / 30,0 / 13,1 / 8,8 / 8,8</w:t>
            </w:r>
          </w:p>
        </w:tc>
        <w:tc>
          <w:tcPr>
            <w:tcW w:type="dxa" w:w="850"/>
          </w:tcPr>
          <w:p>
            <w:pPr>
              <w:spacing w:after="0"/>
            </w:pPr>
            <w:r/>
            <w:r>
              <w:rPr>
                <w:b w:val="0"/>
                <w:sz w:val="16"/>
              </w:rPr>
              <w:t>4,044</w:t>
            </w:r>
          </w:p>
        </w:tc>
        <w:tc>
          <w:tcPr>
            <w:tcW w:type="dxa" w:w="850"/>
          </w:tcPr>
          <w:p>
            <w:pPr>
              <w:spacing w:after="0"/>
            </w:pPr>
            <w:r/>
            <w:r>
              <w:rPr>
                <w:b w:val="0"/>
                <w:sz w:val="16"/>
              </w:rPr>
              <w:t>3,612</w:t>
            </w:r>
          </w:p>
        </w:tc>
        <w:tc>
          <w:tcPr>
            <w:tcW w:type="dxa" w:w="907"/>
          </w:tcPr>
          <w:p>
            <w:pPr>
              <w:spacing w:after="0"/>
            </w:pPr>
            <w:r/>
            <w:r>
              <w:rPr>
                <w:b w:val="0"/>
                <w:sz w:val="16"/>
              </w:rPr>
              <w:t>A</w:t>
            </w:r>
          </w:p>
        </w:tc>
      </w:tr>
      <w:tr>
        <w:trPr>
          <w:cantSplit w:val="true"/>
        </w:trPr>
        <w:tc>
          <w:tcPr>
            <w:tcW w:type="dxa" w:w="2494"/>
          </w:tcPr>
          <w:p>
            <w:pPr>
              <w:spacing w:after="0"/>
            </w:pPr>
            <w:r/>
            <w:r>
              <w:rPr>
                <w:b w:val="0"/>
                <w:sz w:val="16"/>
              </w:rPr>
              <w:t>Medibilidad del desempeño -10 pp</w:t>
            </w:r>
          </w:p>
        </w:tc>
        <w:tc>
          <w:tcPr>
            <w:tcW w:type="dxa" w:w="3628"/>
          </w:tcPr>
          <w:p>
            <w:pPr>
              <w:spacing w:after="0"/>
            </w:pPr>
            <w:r/>
            <w:r>
              <w:rPr>
                <w:b w:val="0"/>
                <w:sz w:val="16"/>
              </w:rPr>
              <w:t>28,1 / 22,5 / 10,0 / 16,9 / 11,2 / 11,2</w:t>
            </w:r>
          </w:p>
        </w:tc>
        <w:tc>
          <w:tcPr>
            <w:tcW w:type="dxa" w:w="850"/>
          </w:tcPr>
          <w:p>
            <w:pPr>
              <w:spacing w:after="0"/>
            </w:pPr>
            <w:r/>
            <w:r>
              <w:rPr>
                <w:b w:val="0"/>
                <w:sz w:val="16"/>
              </w:rPr>
              <w:t>4,056</w:t>
            </w:r>
          </w:p>
        </w:tc>
        <w:tc>
          <w:tcPr>
            <w:tcW w:type="dxa" w:w="850"/>
          </w:tcPr>
          <w:p>
            <w:pPr>
              <w:spacing w:after="0"/>
            </w:pPr>
            <w:r/>
            <w:r>
              <w:rPr>
                <w:b w:val="0"/>
                <w:sz w:val="16"/>
              </w:rPr>
              <w:t>3,788</w:t>
            </w:r>
          </w:p>
        </w:tc>
        <w:tc>
          <w:tcPr>
            <w:tcW w:type="dxa" w:w="907"/>
          </w:tcPr>
          <w:p>
            <w:pPr>
              <w:spacing w:after="0"/>
            </w:pPr>
            <w:r/>
            <w:r>
              <w:rPr>
                <w:b w:val="0"/>
                <w:sz w:val="16"/>
              </w:rPr>
              <w:t>A</w:t>
            </w:r>
          </w:p>
        </w:tc>
      </w:tr>
      <w:tr>
        <w:trPr>
          <w:cantSplit w:val="true"/>
        </w:trPr>
        <w:tc>
          <w:tcPr>
            <w:tcW w:type="dxa" w:w="2494"/>
          </w:tcPr>
          <w:p>
            <w:pPr>
              <w:spacing w:after="0"/>
            </w:pPr>
            <w:r/>
            <w:r>
              <w:rPr>
                <w:b w:val="0"/>
                <w:sz w:val="16"/>
              </w:rPr>
              <w:t>Costo y recursos +10 pp</w:t>
            </w:r>
          </w:p>
        </w:tc>
        <w:tc>
          <w:tcPr>
            <w:tcW w:type="dxa" w:w="3628"/>
          </w:tcPr>
          <w:p>
            <w:pPr>
              <w:spacing w:after="0"/>
            </w:pPr>
            <w:r/>
            <w:r>
              <w:rPr>
                <w:b w:val="0"/>
                <w:sz w:val="16"/>
              </w:rPr>
              <w:t>22,2 / 17,8 / 17,8 / 13,3 / 20,0 / 8,9</w:t>
            </w:r>
          </w:p>
        </w:tc>
        <w:tc>
          <w:tcPr>
            <w:tcW w:type="dxa" w:w="850"/>
          </w:tcPr>
          <w:p>
            <w:pPr>
              <w:spacing w:after="0"/>
            </w:pPr>
            <w:r/>
            <w:r>
              <w:rPr>
                <w:b w:val="0"/>
                <w:sz w:val="16"/>
              </w:rPr>
              <w:t>4,156</w:t>
            </w:r>
          </w:p>
        </w:tc>
        <w:tc>
          <w:tcPr>
            <w:tcW w:type="dxa" w:w="850"/>
          </w:tcPr>
          <w:p>
            <w:pPr>
              <w:spacing w:after="0"/>
            </w:pPr>
            <w:r/>
            <w:r>
              <w:rPr>
                <w:b w:val="0"/>
                <w:sz w:val="16"/>
              </w:rPr>
              <w:t>3,622</w:t>
            </w:r>
          </w:p>
        </w:tc>
        <w:tc>
          <w:tcPr>
            <w:tcW w:type="dxa" w:w="907"/>
          </w:tcPr>
          <w:p>
            <w:pPr>
              <w:spacing w:after="0"/>
            </w:pPr>
            <w:r/>
            <w:r>
              <w:rPr>
                <w:b w:val="0"/>
                <w:sz w:val="16"/>
              </w:rPr>
              <w:t>A</w:t>
            </w:r>
          </w:p>
        </w:tc>
      </w:tr>
      <w:tr>
        <w:trPr>
          <w:cantSplit w:val="true"/>
        </w:trPr>
        <w:tc>
          <w:tcPr>
            <w:tcW w:type="dxa" w:w="2494"/>
          </w:tcPr>
          <w:p>
            <w:pPr>
              <w:spacing w:after="0"/>
            </w:pPr>
            <w:r/>
            <w:r>
              <w:rPr>
                <w:b w:val="0"/>
                <w:sz w:val="16"/>
              </w:rPr>
              <w:t>Costo y recursos -10 pp</w:t>
            </w:r>
          </w:p>
        </w:tc>
        <w:tc>
          <w:tcPr>
            <w:tcW w:type="dxa" w:w="3628"/>
          </w:tcPr>
          <w:p>
            <w:pPr>
              <w:spacing w:after="0"/>
            </w:pPr>
            <w:r/>
            <w:r>
              <w:rPr>
                <w:b w:val="0"/>
                <w:sz w:val="16"/>
              </w:rPr>
              <w:t>27,8 / 22,2 / 22,2 / 16,7 / 0,0 / 11,1</w:t>
            </w:r>
          </w:p>
        </w:tc>
        <w:tc>
          <w:tcPr>
            <w:tcW w:type="dxa" w:w="850"/>
          </w:tcPr>
          <w:p>
            <w:pPr>
              <w:spacing w:after="0"/>
            </w:pPr>
            <w:r/>
            <w:r>
              <w:rPr>
                <w:b w:val="0"/>
                <w:sz w:val="16"/>
              </w:rPr>
              <w:t>3,944</w:t>
            </w:r>
          </w:p>
        </w:tc>
        <w:tc>
          <w:tcPr>
            <w:tcW w:type="dxa" w:w="850"/>
          </w:tcPr>
          <w:p>
            <w:pPr>
              <w:spacing w:after="0"/>
            </w:pPr>
            <w:r/>
            <w:r>
              <w:rPr>
                <w:b w:val="0"/>
                <w:sz w:val="16"/>
              </w:rPr>
              <w:t>3,778</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3,667</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de B + 1 en todos los criterios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4,700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8 escenarios de pesos (original, +10 pp y −10 pp de cada criterio empatado, y pesos iguales). La ventaja mínima de A es de 0,17 puntos (escenario «Costo y recursos -10 pp»). En cambio, la decisión no es robusta a los puntajes de B: la ventaja de A con los pesos originales es de 0,35 puntos, que equivale a un punto de diferencia en criterios que sumen un 35 % del peso (por ejemplo, viabilidad técnica y costo). Si el diseño real de Cartrescue-agent justificara un punto más en todos los criterios, B obtendría 4,70 frente a 4,05 y pasaría a ser la mejor opción. La ventaja de A debe confirmarse con el diseño real de B.</w:t>
      </w:r>
    </w:p>
    <w:p>
      <w:pPr>
        <w:pStyle w:val="Heading2"/>
      </w:pPr>
      <w:r>
        <w:t>A.3 Justificación de la selección (una página)</w:t>
      </w:r>
    </w:p>
    <w:p>
      <w:r>
        <w:rPr>
          <w:b w:val="0"/>
          <w:i w:val="0"/>
        </w:rPr>
        <w:t>Se selecciona CREDITSCORE-AGENT con un puntaje ponderado de 4,05 sobre 5, frente a 3,70 para Cartrescue-agent. A supera a B en medibilidad del desempeño (0,20), complejidad de ia (0,15), costo y recursos (0,20): la meta de A puede medirse sin tienda piloto, funciona con Python y numpy sin APIs ni servicios de pago, y es un agente de aprendizaje con decisión por utilidad y abstención por incertidumbre. B supera a A en disponibilidad de datos o entorno (0,20), porque cuenta con un conjunto público real (REES46). Viabilidad técnica y valor del problema empatan.</w:t>
      </w:r>
    </w:p>
    <w:p>
      <w:r>
        <w:rPr>
          <w:b w:val="0"/>
          <w:i w:val="0"/>
        </w:rPr>
        <w:t>Resultado de la sensibilidad: al subir o bajar 10 puntos el peso de cada criterio empatado, A conserva el primer lugar en los seis casos (la menor ventaja es 0,17 puntos). Con pesos iguales A también gana (4,17 frente a 3,67). La decisión depende de los puntajes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reducción del 20 % del tiempo se probó con una línea base manual simulada (ver 9.7);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un conjunto de datos público y real (REES46); y un dominio con menor riesgo ético que las decisiones crediticias. La descripción del caso confirma que Cartrescue-agent también aprende de los resultados y dispone de datos, y aun así la decisión se mantiene en A por medibilidad y costo; debe revisarse solo si el diseño completo de B justifica puntajes más altos en esos criterios.</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prueba con una línea base manual.</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y pandas (app.py)</w:t>
            </w:r>
          </w:p>
        </w:tc>
        <w:tc>
          <w:tcPr>
            <w:tcW w:type="dxa" w:w="850"/>
          </w:tcPr>
          <w:p>
            <w:pPr>
              <w:spacing w:after="0"/>
            </w:pPr>
            <w:r/>
            <w:r>
              <w:rPr>
                <w:b w:val="0"/>
                <w:sz w:val="14"/>
              </w:rPr>
              <w:t>1.66.0 (probada)</w:t>
            </w:r>
          </w:p>
        </w:tc>
        <w:tc>
          <w:tcPr>
            <w:tcW w:type="dxa" w:w="1191"/>
          </w:tcPr>
          <w:p>
            <w:pPr>
              <w:spacing w:after="0"/>
            </w:pPr>
            <w:r/>
            <w:r>
              <w:rPr>
                <w:b w:val="0"/>
                <w:sz w:val="14"/>
              </w:rPr>
              <w:t>Interfaz web y despliegue público (Opción A)</w:t>
            </w:r>
          </w:p>
        </w:tc>
        <w:tc>
          <w:tcPr>
            <w:tcW w:type="dxa" w:w="1474"/>
          </w:tcPr>
          <w:p>
            <w:pPr>
              <w:spacing w:after="0"/>
            </w:pPr>
            <w:r/>
            <w:r>
              <w:rPr>
                <w:b w:val="0"/>
                <w:sz w:val="14"/>
              </w:rPr>
              <w:t>Evalúa solicitudes y ejecuta las pruebas en vivo; despliegue gratuito desde GitHub</w:t>
            </w:r>
          </w:p>
        </w:tc>
        <w:tc>
          <w:tcPr>
            <w:tcW w:type="dxa" w:w="1191"/>
          </w:tcPr>
          <w:p>
            <w:pPr>
              <w:spacing w:after="0"/>
            </w:pPr>
            <w:r/>
            <w:r>
              <w:rPr>
                <w:b w:val="0"/>
                <w:sz w:val="14"/>
              </w:rPr>
              <w:t>Video (Opción B)</w:t>
            </w:r>
          </w:p>
        </w:tc>
        <w:tc>
          <w:tcPr>
            <w:tcW w:type="dxa" w:w="2211"/>
          </w:tcPr>
          <w:p>
            <w:pPr>
              <w:spacing w:after="0"/>
            </w:pPr>
            <w:r/>
            <w:r>
              <w:rPr>
                <w:b w:val="0"/>
                <w:sz w:val="14"/>
              </w:rPr>
              <w:t>Los integrantes no pueden grabar juntos; la interfaz no contiene lógica de decisión</w:t>
            </w:r>
          </w:p>
        </w:tc>
        <w:tc>
          <w:tcPr>
            <w:tcW w:type="dxa" w:w="850"/>
          </w:tcPr>
          <w:p>
            <w:pPr>
              <w:spacing w:after="0"/>
            </w:pPr>
            <w:r/>
            <w:r>
              <w:rPr>
                <w:b w:val="0"/>
                <w:sz w:val="14"/>
              </w:rPr>
              <w:t>Usada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y la reducción frente a la línea base manual</w:t>
            </w:r>
          </w:p>
        </w:tc>
        <w:tc>
          <w:tcPr>
            <w:tcW w:type="dxa" w:w="1701"/>
          </w:tcPr>
          <w:p>
            <w:pPr>
              <w:spacing w:after="0"/>
            </w:pPr>
            <w:r/>
            <w:r>
              <w:rPr>
                <w:b w:val="0"/>
                <w:sz w:val="14"/>
              </w:rPr>
              <w:t>Medida ejecutada</w:t>
            </w:r>
          </w:p>
        </w:tc>
        <w:tc>
          <w:tcPr>
            <w:tcW w:type="dxa" w:w="1814"/>
          </w:tcPr>
          <w:p>
            <w:pPr>
              <w:spacing w:after="0"/>
            </w:pPr>
            <w:r/>
            <w:r>
              <w:rPr>
                <w:b w:val="0"/>
                <w:sz w:val="14"/>
              </w:rPr>
              <w:t>Línea base medida con el script del repositorio</w:t>
            </w:r>
          </w:p>
        </w:tc>
        <w:tc>
          <w:tcPr>
            <w:tcW w:type="dxa" w:w="1701"/>
          </w:tcPr>
          <w:p>
            <w:pPr>
              <w:spacing w:after="0"/>
            </w:pPr>
            <w:r/>
            <w:r>
              <w:rPr>
                <w:b w:val="0"/>
                <w:sz w:val="14"/>
              </w:rPr>
              <w:t>Persona frente a agente en memoria</w:t>
            </w:r>
          </w:p>
        </w:tc>
      </w:tr>
      <w:tr>
        <w:trPr>
          <w:cantSplit w:val="true"/>
        </w:trPr>
        <w:tc>
          <w:tcPr>
            <w:tcW w:type="dxa" w:w="1928"/>
          </w:tcPr>
          <w:p>
            <w:pPr>
              <w:spacing w:after="0"/>
            </w:pPr>
            <w:r/>
            <w:r>
              <w:rPr>
                <w:b w:val="0"/>
                <w:sz w:val="14"/>
              </w:rPr>
              <w:t>Entrada por formulario</w:t>
            </w:r>
          </w:p>
        </w:tc>
        <w:tc>
          <w:tcPr>
            <w:tcW w:type="dxa" w:w="2154"/>
          </w:tcPr>
          <w:p>
            <w:pPr>
              <w:spacing w:after="0"/>
            </w:pPr>
            <w:r/>
            <w:r>
              <w:rPr>
                <w:b w:val="0"/>
                <w:sz w:val="14"/>
              </w:rPr>
              <w:t>app.py: interfaz web</w:t>
            </w:r>
          </w:p>
        </w:tc>
        <w:tc>
          <w:tcPr>
            <w:tcW w:type="dxa" w:w="1701"/>
          </w:tcPr>
          <w:p>
            <w:pPr>
              <w:spacing w:after="0"/>
            </w:pPr>
            <w:r/>
            <w:r>
              <w:rPr>
                <w:b w:val="0"/>
                <w:sz w:val="14"/>
              </w:rPr>
              <w:t>No estaba en el diseño</w:t>
            </w:r>
          </w:p>
        </w:tc>
        <w:tc>
          <w:tcPr>
            <w:tcW w:type="dxa" w:w="1814"/>
          </w:tcPr>
          <w:p>
            <w:pPr>
              <w:spacing w:after="0"/>
            </w:pPr>
            <w:r/>
            <w:r>
              <w:rPr>
                <w:b w:val="0"/>
                <w:sz w:val="14"/>
              </w:rPr>
              <w:t>Opción A</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complementa la reducción del 20 % (M2b), que compara contra la línea base manual.</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probada con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0,701 ms; media = 0,489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10</w:t>
            </w:r>
          </w:p>
        </w:tc>
        <w:tc>
          <w:tcPr>
            <w:tcW w:type="dxa" w:w="2778"/>
          </w:tcPr>
          <w:p>
            <w:pPr>
              <w:spacing w:after="0"/>
            </w:pPr>
            <w:r/>
            <w:r>
              <w:rPr>
                <w:b w:val="0"/>
                <w:sz w:val="14"/>
              </w:rPr>
              <w:t>T_manual = 3,6 s; T_agente = 0,489 ms; reducción = 99,99 %</w:t>
            </w:r>
          </w:p>
        </w:tc>
        <w:tc>
          <w:tcPr>
            <w:tcW w:type="dxa" w:w="1191"/>
          </w:tcPr>
          <w:p>
            <w:pPr>
              <w:spacing w:after="0"/>
            </w:pPr>
            <w:r/>
            <w:r>
              <w:rPr>
                <w:b w:val="0"/>
                <w:sz w:val="14"/>
              </w:rPr>
              <w:t>Sí</w:t>
            </w:r>
          </w:p>
        </w:tc>
        <w:tc>
          <w:tcPr>
            <w:tcW w:type="dxa" w:w="3402"/>
          </w:tcPr>
          <w:p>
            <w:pPr>
              <w:spacing w:after="0"/>
            </w:pPr>
            <w:r/>
            <w:r>
              <w:rPr>
                <w:b w:val="0"/>
                <w:sz w:val="14"/>
              </w:rPr>
              <w:t>config/linea_base_manual.json; logs/linea_base_manual_tiempos.csv</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distribución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Evidencia de funcionamiento (Opción A): la pestaña «3. Pruebas» de la app desplegada ejecuta en vivo las pruebas unitarias, los 17 escenarios y las medidas M1–M7 y muestra esta misma tabla; los archivos de la columna final son el respaldo.</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0,701 ms, remisión correcta de 1.000 de 1.000 entradas inválidas, ECE medio bajo 0,05, trazabilidad completa en 9.000 evaluaciones, reproducibilidad exacta y detección y mejora tras recalibración en 5 de 5 semillas. ¿Qué no se cumplió? Ninguna medida incumplió su umbral. M2b (reducción del 20 % del tiempo) también se cumplió: T_manual = 3,6 s; T_agente = 0,489 ms; reducción = 99,99 %.</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el p95 es inferior a 1 ms en un entorno simulado en memoria, sin red ni consulta real al buró. La reducción de M2b (T_manual = 3,6 s; T_agente = 0,489 ms; reducción = 99,99 %) compara a una persona que decide sobre datos ya presentados con un programa en memoria; es una cota optimista y no incluye digitación, consulta real al buró ni verificación documental, por lo que no equivale al ahorro real en una entidad.</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repetir M2b con analistas reales;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línea base manual se midió sobre solicitudes simuladas ya presentadas, sin digitación ni consulta real al buró; la latencia del agente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repetir M2b con analistas reales y datos de una entidad (tiempo con digitación y consulta real al buró).</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w:t>
            </w:r>
          </w:p>
        </w:tc>
        <w:tc>
          <w:tcPr>
            <w:tcW w:type="dxa" w:w="2551"/>
          </w:tcPr>
          <w:p>
            <w:pPr>
              <w:spacing w:after="0"/>
            </w:pPr>
            <w:r/>
            <w:r>
              <w:rPr>
                <w:b w:val="0"/>
                <w:sz w:val="16"/>
              </w:rPr>
              <w:t>Publicado (comprobado por el integrante: abre sin iniciar sesión)</w:t>
            </w:r>
          </w:p>
        </w:tc>
        <w:tc>
          <w:tcPr>
            <w:tcW w:type="dxa" w:w="4195"/>
          </w:tcPr>
          <w:p>
            <w:pPr>
              <w:spacing w:after="0"/>
            </w:pPr>
            <w:r/>
            <w:r>
              <w:rPr>
                <w:b w:val="0"/>
                <w:sz w:val="16"/>
              </w:rPr>
              <w:t>https://github.com/stevencontre/creditscore-agent</w:t>
            </w:r>
          </w:p>
        </w:tc>
      </w:tr>
      <w:tr>
        <w:trPr>
          <w:cantSplit w:val="true"/>
        </w:trPr>
        <w:tc>
          <w:tcPr>
            <w:tcW w:type="dxa" w:w="2551"/>
          </w:tcPr>
          <w:p>
            <w:pPr>
              <w:spacing w:after="0"/>
            </w:pPr>
            <w:r/>
            <w:r>
              <w:rPr>
                <w:b w:val="0"/>
                <w:sz w:val="16"/>
              </w:rPr>
              <w:t>Plataforma de despliegue (Opción A: Streamlit Community Cloud)</w:t>
            </w:r>
          </w:p>
        </w:tc>
        <w:tc>
          <w:tcPr>
            <w:tcW w:type="dxa" w:w="2551"/>
          </w:tcPr>
          <w:p>
            <w:pPr>
              <w:spacing w:after="0"/>
            </w:pPr>
            <w:r/>
            <w:r>
              <w:rPr>
                <w:b w:val="0"/>
                <w:sz w:val="16"/>
              </w:rPr>
              <w:t>Publicada; disponible hasta la fecha de calificación</w:t>
            </w:r>
          </w:p>
        </w:tc>
        <w:tc>
          <w:tcPr>
            <w:tcW w:type="dxa" w:w="4195"/>
          </w:tcPr>
          <w:p>
            <w:pPr>
              <w:spacing w:after="0"/>
            </w:pPr>
            <w:r/>
            <w:r>
              <w:rPr>
                <w:b w:val="0"/>
                <w:sz w:val="16"/>
              </w:rPr>
              <w:t>https://creditscore-agent-7pyg7dzx7yiykdggfwoinw.streamlit.app/</w:t>
            </w:r>
          </w:p>
        </w:tc>
      </w:tr>
      <w:tr>
        <w:trPr>
          <w:cantSplit w:val="true"/>
        </w:trPr>
        <w:tc>
          <w:tcPr>
            <w:tcW w:type="dxa" w:w="2551"/>
          </w:tcPr>
          <w:p>
            <w:pPr>
              <w:spacing w:after="0"/>
            </w:pPr>
            <w:r/>
            <w:r>
              <w:rPr>
                <w:b w:val="0"/>
                <w:sz w:val="16"/>
              </w:rPr>
              <w:t>Instrucciones de uso y casos de prueba sugeridos</w:t>
            </w:r>
          </w:p>
        </w:tc>
        <w:tc>
          <w:tcPr>
            <w:tcW w:type="dxa" w:w="2551"/>
          </w:tcPr>
          <w:p>
            <w:pPr>
              <w:spacing w:after="0"/>
            </w:pPr>
            <w:r/>
            <w:r>
              <w:rPr>
                <w:b w:val="0"/>
                <w:sz w:val="16"/>
              </w:rPr>
              <w:t>En el repositorio</w:t>
            </w:r>
          </w:p>
        </w:tc>
        <w:tc>
          <w:tcPr>
            <w:tcW w:type="dxa" w:w="4195"/>
          </w:tcPr>
          <w:p>
            <w:pPr>
              <w:spacing w:after="0"/>
            </w:pPr>
            <w:r/>
            <w:r>
              <w:rPr>
                <w:b w:val="0"/>
                <w:sz w:val="16"/>
              </w:rPr>
              <w:t>docs/guia_despliegue.md y pestaña «Evaluar una solicitud» de la app</w:t>
            </w:r>
          </w:p>
        </w:tc>
      </w:tr>
      <w:tr>
        <w:trPr>
          <w:cantSplit w:val="true"/>
        </w:trPr>
        <w:tc>
          <w:tcPr>
            <w:tcW w:type="dxa" w:w="2551"/>
          </w:tcPr>
          <w:p>
            <w:pPr>
              <w:spacing w:after="0"/>
            </w:pPr>
            <w:r/>
            <w:r>
              <w:rPr>
                <w:b w:val="0"/>
                <w:sz w:val="16"/>
              </w:rPr>
              <w:t>Video de la demostración</w:t>
            </w:r>
          </w:p>
        </w:tc>
        <w:tc>
          <w:tcPr>
            <w:tcW w:type="dxa" w:w="2551"/>
          </w:tcPr>
          <w:p>
            <w:pPr>
              <w:spacing w:after="0"/>
            </w:pPr>
            <w:r/>
            <w:r>
              <w:rPr>
                <w:b w:val="0"/>
                <w:sz w:val="16"/>
              </w:rPr>
              <w:t>No aplica: se eligió la Opción A (plataforma de despliegue)</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y la verificación realizada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Faltan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10 de marzo). What are the components of AI agents? [Artículo de C. Stryker]. IBM Think. https://www.ibm.com/think/topics/components-of-ai-agents</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https://arxiv.org/abs/2603.18927</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