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Clock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clock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30 named theory sections, 10 quiz/check sets (120 questions) and 40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the Clock project brief and success criteria.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Reading the Clock working drawing without scaling.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Managing workshop hazards and risks for the Clock.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grain, structure and defects in Clock components.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Writing a Work Method Statement for the Clock.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Cutting lists, material calculations and cost planning.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Planning and drilling the Clock face opening.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Building an accurate drill press Safe Operating Procedure.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Workshop housekeeping and care of Clock tools.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Rebate joints in the Clock carcass. Weeks 7-8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Chamfered edges: controlled shaping and design effect. Weeks 7-8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Adhesive assembly, squareness and clamping. Weeks 7-8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 hidden drawer: accuracy, clearance and fit. Weeks 9-10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Responsible material use and off-cut selection. Weeks 9-10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Testing drawer fit and diagnosing faults. Weeks 9-10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moisture, seasoning and dimensional stability. Weeks 11-12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Selecting timber for function, appearance and responsible use. Weeks 11-12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Sanding for a consistent oil-ready surface. Weeks 11-12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Planning the three-coat oil finish. Weeks 13-14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Oil finish safety, application and between-coat quality. Weeks 13-14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Accurate fit-up of the battery clock mechanism. Weeks 13-14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Applying design principles to the Clock. Weeks 15-16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Technical sketches, orthographic views and clear communication. Weeks 15-16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Current and emerging timber technologies connected to the Clock. Weeks 15-16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Building an authentic Clock project folio. Weeks 17-18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Photographing and captioning key Clock construction stages. Weeks 17-18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Using PMI to evaluate the finished Clock. Weeks 17-18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quality assurance for the completed Clock. Weeks 19-20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Revising Clock theory and using feedback. Weeks 19-20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Submission, reflection and transferable workshop skills. Weeks 19-20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CLOCK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Clock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