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SCHOOL-DEVELOPED TEACHING PROGRAM</w:t>
      </w:r>
    </w:p>
    <w:p>
      <w:pPr>
        <w:pStyle w:val="Title"/>
      </w:pPr>
      <w:r>
        <w:t>Swinging Sign</w:t>
      </w:r>
    </w:p>
    <w:p>
      <w:pPr>
        <w:pStyle w:val="Subtitle"/>
      </w:pPr>
      <w:r>
        <w:t>Stage 4 Technology · Materials and production processes · Five-week local unit</w:t>
      </w:r>
    </w:p>
    <w:tbl>
      <w:tblPr>
        <w:tblW w:type="dxa" w:w="1524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3810"/>
        <w:gridCol w:w="3810"/>
        <w:gridCol w:w="3810"/>
        <w:gridCol w:w="3810"/>
      </w:tblGrid>
      <w:tr>
        <w:tc>
          <w:tcPr>
            <w:tcW w:type="dxa" w:w="3810"/>
            <w:tcMar>
              <w:top w:w="90" w:type="dxa"/>
              <w:start w:w="110" w:type="dxa"/>
              <w:bottom w:w="90" w:type="dxa"/>
              <w:end w:w="110" w:type="dxa"/>
            </w:tcMar>
            <w:vAlign w:val="center"/>
            <w:shd w:fill="EBF5ED" w:val="clear"/>
          </w:tcPr>
          <w:p>
            <w:pPr>
              <w:keepNext w:val="0"/>
              <w:keepLines w:val="0"/>
              <w:spacing w:before="0" w:after="20" w:line="240" w:lineRule="auto"/>
              <w:jc w:val="center"/>
            </w:pPr>
            <w:r>
              <w:rPr>
                <w:rFonts w:ascii="Calibri" w:hAnsi="Calibri" w:eastAsia="Calibri"/>
                <w:b/>
                <w:color w:val="2E6B3D"/>
                <w:sz w:val="16"/>
              </w:rPr>
              <w:t>SOURCE DURATION</w:t>
            </w:r>
          </w:p>
          <w:p>
            <w:pPr>
              <w:keepNext w:val="0"/>
              <w:keepLines w:val="0"/>
              <w:spacing w:before="0" w:after="0" w:line="240" w:lineRule="auto"/>
              <w:jc w:val="center"/>
            </w:pPr>
            <w:r>
              <w:rPr>
                <w:rFonts w:ascii="Calibri" w:hAnsi="Calibri" w:eastAsia="Calibri"/>
                <w:b/>
                <w:color w:val="17482C"/>
                <w:sz w:val="20"/>
              </w:rPr>
              <w:t>5 weeks</w:t>
            </w:r>
          </w:p>
        </w:tc>
        <w:tc>
          <w:tcPr>
            <w:tcW w:type="dxa" w:w="3810"/>
            <w:tcMar>
              <w:top w:w="90" w:type="dxa"/>
              <w:start w:w="110" w:type="dxa"/>
              <w:bottom w:w="90" w:type="dxa"/>
              <w:end w:w="110" w:type="dxa"/>
            </w:tcMar>
            <w:vAlign w:val="center"/>
            <w:shd w:fill="EBF5ED" w:val="clear"/>
          </w:tcPr>
          <w:p>
            <w:pPr>
              <w:keepNext w:val="0"/>
              <w:keepLines w:val="0"/>
              <w:spacing w:before="0" w:after="20" w:line="240" w:lineRule="auto"/>
              <w:jc w:val="center"/>
            </w:pPr>
            <w:r>
              <w:rPr>
                <w:rFonts w:ascii="Calibri" w:hAnsi="Calibri" w:eastAsia="Calibri"/>
                <w:b/>
                <w:color w:val="2E6B3D"/>
                <w:sz w:val="16"/>
              </w:rPr>
              <w:t>SOURCE TIMETABLE</w:t>
            </w:r>
          </w:p>
          <w:p>
            <w:pPr>
              <w:keepNext w:val="0"/>
              <w:keepLines w:val="0"/>
              <w:spacing w:before="0" w:after="0" w:line="240" w:lineRule="auto"/>
              <w:jc w:val="center"/>
            </w:pPr>
            <w:r>
              <w:rPr>
                <w:rFonts w:ascii="Calibri" w:hAnsi="Calibri" w:eastAsia="Calibri"/>
                <w:b/>
                <w:color w:val="17482C"/>
                <w:sz w:val="20"/>
              </w:rPr>
              <w:t>5 x 60 min / fortnight</w:t>
            </w:r>
          </w:p>
        </w:tc>
        <w:tc>
          <w:tcPr>
            <w:tcW w:type="dxa" w:w="3810"/>
            <w:tcMar>
              <w:top w:w="90" w:type="dxa"/>
              <w:start w:w="110" w:type="dxa"/>
              <w:bottom w:w="90" w:type="dxa"/>
              <w:end w:w="110" w:type="dxa"/>
            </w:tcMar>
            <w:vAlign w:val="center"/>
            <w:shd w:fill="EBF5ED" w:val="clear"/>
          </w:tcPr>
          <w:p>
            <w:pPr>
              <w:keepNext w:val="0"/>
              <w:keepLines w:val="0"/>
              <w:spacing w:before="0" w:after="20" w:line="240" w:lineRule="auto"/>
              <w:jc w:val="center"/>
            </w:pPr>
            <w:r>
              <w:rPr>
                <w:rFonts w:ascii="Calibri" w:hAnsi="Calibri" w:eastAsia="Calibri"/>
                <w:b/>
                <w:color w:val="2E6B3D"/>
                <w:sz w:val="16"/>
              </w:rPr>
              <w:t>PROGRAM MAP</w:t>
            </w:r>
          </w:p>
          <w:p>
            <w:pPr>
              <w:keepNext w:val="0"/>
              <w:keepLines w:val="0"/>
              <w:spacing w:before="0" w:after="0" w:line="240" w:lineRule="auto"/>
              <w:jc w:val="center"/>
            </w:pPr>
            <w:r>
              <w:rPr>
                <w:rFonts w:ascii="Calibri" w:hAnsi="Calibri" w:eastAsia="Calibri"/>
                <w:b/>
                <w:color w:val="17482C"/>
                <w:sz w:val="20"/>
              </w:rPr>
              <w:t>15 flexible learning blocks</w:t>
            </w:r>
          </w:p>
        </w:tc>
        <w:tc>
          <w:tcPr>
            <w:tcW w:type="dxa" w:w="3810"/>
            <w:tcMar>
              <w:top w:w="90" w:type="dxa"/>
              <w:start w:w="110" w:type="dxa"/>
              <w:bottom w:w="90" w:type="dxa"/>
              <w:end w:w="110" w:type="dxa"/>
            </w:tcMar>
            <w:vAlign w:val="center"/>
            <w:shd w:fill="EBF5ED" w:val="clear"/>
          </w:tcPr>
          <w:p>
            <w:pPr>
              <w:keepNext w:val="0"/>
              <w:keepLines w:val="0"/>
              <w:spacing w:before="0" w:after="20" w:line="240" w:lineRule="auto"/>
              <w:jc w:val="center"/>
            </w:pPr>
            <w:r>
              <w:rPr>
                <w:rFonts w:ascii="Calibri" w:hAnsi="Calibri" w:eastAsia="Calibri"/>
                <w:b/>
                <w:color w:val="2E6B3D"/>
                <w:sz w:val="16"/>
              </w:rPr>
              <w:t>RELEASE STATE</w:t>
            </w:r>
          </w:p>
          <w:p>
            <w:pPr>
              <w:keepNext w:val="0"/>
              <w:keepLines w:val="0"/>
              <w:spacing w:before="0" w:after="0" w:line="240" w:lineRule="auto"/>
              <w:jc w:val="center"/>
            </w:pPr>
            <w:r>
              <w:rPr>
                <w:rFonts w:ascii="Calibri" w:hAnsi="Calibri" w:eastAsia="Calibri"/>
                <w:b/>
                <w:color w:val="17482C"/>
                <w:sz w:val="20"/>
              </w:rPr>
              <w:t>Release authorised; verification pending</w:t>
            </w:r>
          </w:p>
        </w:tc>
      </w:tr>
    </w:tbl>
    <w:tbl>
      <w:tblPr>
        <w:tblW w:type="dxa" w:w="15240"/>
        <w:jc w:val="left"/>
        <w:tblLayout w:type="fixed"/>
        <w:tblLook w:firstColumn="1" w:firstRow="1" w:lastColumn="0" w:lastRow="0" w:noHBand="0" w:noVBand="1" w:val="04A0"/>
        <w:tblInd w:w="120" w:type="dxa"/>
        <w:tblBorders>
          <w:top w:val="single" w:sz="4" w:space="0" w:color="B7C9BC"/>
          <w:left w:val="single" w:sz="4" w:space="0" w:color="B7C9BC"/>
          <w:bottom w:val="single" w:sz="4" w:space="0" w:color="B7C9BC"/>
          <w:right w:val="single" w:sz="4" w:space="0" w:color="B7C9BC"/>
          <w:insideH w:val="single" w:sz="4" w:space="0" w:color="B7C9BC"/>
          <w:insideV w:val="single" w:sz="4" w:space="0" w:color="B7C9BC"/>
        </w:tblBorders>
      </w:tblPr>
      <w:tblGrid>
        <w:gridCol w:w="1700"/>
        <w:gridCol w:w="5920"/>
        <w:gridCol w:w="1700"/>
        <w:gridCol w:w="5920"/>
      </w:tblGrid>
      <w:tr>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Course</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Stage 4 Technology</w:t>
            </w:r>
          </w:p>
        </w:tc>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Focus</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Materials and production processes</w:t>
            </w:r>
          </w:p>
        </w:tc>
      </w:tr>
      <w:tr>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Cohort</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Stage 4 / Years 7-8</w:t>
            </w:r>
          </w:p>
        </w:tc>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Delivery year</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Teacher to confirm</w:t>
            </w:r>
          </w:p>
        </w:tc>
      </w:tr>
      <w:tr>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Primary project</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Swinging Sign</w:t>
            </w:r>
          </w:p>
        </w:tc>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Additional pathways</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LED tea-light holder; scrolled pot-plant holder</w:t>
            </w:r>
          </w:p>
        </w:tc>
      </w:tr>
      <w:tr>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Syllabus</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Technology 7-8 Syllabus (2023); implemented from 2026</w:t>
            </w:r>
          </w:p>
        </w:tc>
        <w:tc>
          <w:tcPr>
            <w:tcW w:type="dxa" w:w="1700"/>
            <w:tcMar>
              <w:top w:w="65" w:type="dxa"/>
              <w:start w:w="95" w:type="dxa"/>
              <w:bottom w:w="65" w:type="dxa"/>
              <w:end w:w="95" w:type="dxa"/>
            </w:tcMar>
            <w:vAlign w:val="center"/>
            <w:shd w:fill="EBF5ED" w:val="clear"/>
          </w:tcPr>
          <w:p>
            <w:pPr>
              <w:keepNext w:val="0"/>
              <w:keepLines w:val="0"/>
              <w:spacing w:before="0" w:after="0" w:line="240" w:lineRule="auto"/>
            </w:pPr>
            <w:r>
              <w:rPr>
                <w:rFonts w:ascii="Calibri" w:hAnsi="Calibri" w:eastAsia="Calibri"/>
                <w:b/>
                <w:color w:val="17482C"/>
                <w:sz w:val="18"/>
              </w:rPr>
              <w:t>Assessment</w:t>
            </w:r>
          </w:p>
        </w:tc>
        <w:tc>
          <w:tcPr>
            <w:tcW w:type="dxa" w:w="5920"/>
            <w:tcMar>
              <w:top w:w="65" w:type="dxa"/>
              <w:start w:w="95" w:type="dxa"/>
              <w:bottom w:w="65" w:type="dxa"/>
              <w:end w:w="95" w:type="dxa"/>
            </w:tcMar>
            <w:vAlign w:val="center"/>
          </w:tcPr>
          <w:p>
            <w:pPr>
              <w:keepNext w:val="0"/>
              <w:keepLines w:val="0"/>
              <w:spacing w:before="0" w:after="0" w:line="240" w:lineRule="auto"/>
            </w:pPr>
            <w:r>
              <w:rPr>
                <w:rFonts w:ascii="Calibri" w:hAnsi="Calibri" w:eastAsia="Calibri"/>
                <w:b w:val="0"/>
                <w:color w:val="26342D"/>
                <w:sz w:val="18"/>
              </w:rPr>
              <w:t>Orientation only; formal details Teacher to confirm</w:t>
            </w:r>
          </w:p>
        </w:tc>
      </w:tr>
    </w:tbl>
    <w:tbl>
      <w:tblPr>
        <w:tblW w:type="dxa" w:w="15240"/>
        <w:jc w:val="left"/>
        <w:tblLayout w:type="fixed"/>
        <w:tblLook w:firstColumn="1" w:firstRow="1" w:lastColumn="0" w:lastRow="0" w:noHBand="0" w:noVBand="1" w:val="04A0"/>
        <w:tblInd w:w="120" w:type="dxa"/>
        <w:tblBorders>
          <w:top w:val="single" w:sz="5" w:space="0" w:color="D8B968"/>
          <w:left w:val="single" w:sz="5" w:space="0" w:color="D8B968"/>
          <w:bottom w:val="single" w:sz="5" w:space="0" w:color="D8B968"/>
          <w:right w:val="single" w:sz="5" w:space="0" w:color="D8B968"/>
          <w:insideH w:val="single" w:sz="5" w:space="0" w:color="D8B968"/>
          <w:insideV w:val="single" w:sz="5" w:space="0" w:color="D8B968"/>
        </w:tblBorders>
      </w:tblPr>
      <w:tblGrid>
        <w:gridCol w:w="15240"/>
      </w:tblGrid>
      <w:tr>
        <w:tc>
          <w:tcPr>
            <w:tcW w:type="dxa" w:w="15240"/>
            <w:tcMar>
              <w:top w:w="95" w:type="dxa"/>
              <w:start w:w="120" w:type="dxa"/>
              <w:bottom w:w="95" w:type="dxa"/>
              <w:end w:w="120" w:type="dxa"/>
            </w:tcMar>
            <w:vAlign w:val="center"/>
            <w:shd w:fill="FFF4D6" w:val="clear"/>
          </w:tcPr>
          <w:p>
            <w:pPr>
              <w:keepNext w:val="0"/>
              <w:keepLines w:val="0"/>
              <w:spacing w:before="0" w:after="0" w:line="252" w:lineRule="auto"/>
            </w:pPr>
            <w:r>
              <w:rPr>
                <w:rFonts w:ascii="Calibri" w:hAnsi="Calibri" w:eastAsia="Calibri"/>
                <w:b/>
                <w:color w:val="8A5A00"/>
                <w:sz w:val="19"/>
              </w:rPr>
              <w:t xml:space="preserve">Timetable boundary: </w:t>
            </w:r>
            <w:r>
              <w:rPr>
                <w:rFonts w:ascii="Calibri" w:hAnsi="Calibri" w:eastAsia="Calibri"/>
                <w:color w:val="26342D"/>
                <w:sz w:val="19"/>
              </w:rPr>
              <w:t>The source wording is retained exactly: 5 weeks (5 x 60-minute lessons per fortnight). W1-A to W5-C are flexible learning blocks, not a claimed whole-number period count. The teacher must confirm how they fit the local timetable.</w:t>
            </w:r>
          </w:p>
        </w:tc>
      </w:tr>
    </w:tbl>
    <w:p>
      <w:pPr>
        <w:pStyle w:val="Heading2"/>
        <w:spacing w:before="140"/>
      </w:pPr>
      <w:r>
        <w:t>Program rationale</w:t>
      </w:r>
    </w:p>
    <w:p>
      <w:pPr>
        <w:keepNext w:val="0"/>
        <w:keepLines w:val="0"/>
        <w:spacing w:before="0" w:after="100" w:line="264" w:lineRule="auto"/>
      </w:pPr>
      <w:r>
        <w:rPr>
          <w:rFonts w:ascii="Calibri" w:hAnsi="Calibri" w:eastAsia="Calibri"/>
          <w:color w:val="26342D"/>
          <w:sz w:val="19"/>
        </w:rPr>
        <w:t>This source-first unit develops design, communication, planning, materials and production-process reasoning through the Swinging Sign and teacher-directed additional pathways. Every named section connects theory, a purposeful visual, a complete media or no-stream pathway, an applied activity, 10 feedback-rich multiple-choice questions and one scaffolded higher-order response. Practical work begins only after the approved local plan, demonstration, controls and authorisation are in place.</w:t>
      </w:r>
    </w:p>
    <w:p>
      <w:pPr>
        <w:pStyle w:val="Heading2"/>
        <w:spacing w:before="80"/>
      </w:pPr>
      <w:r>
        <w:t>Stage 4 outcomes</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1900"/>
        <w:gridCol w:w="13340"/>
      </w:tblGrid>
      <w:tr>
        <w:trPr>
          <w:tblHeader w:val="true"/>
          <w:cantSplit/>
        </w:trPr>
        <w:tc>
          <w:tcPr>
            <w:tcW w:type="dxa" w:w="190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Outcome</w:t>
            </w:r>
          </w:p>
        </w:tc>
        <w:tc>
          <w:tcPr>
            <w:tcW w:type="dxa" w:w="1334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Exact outcome wording</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TE4-SDP-01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explains relationships between sustainability, design and production</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TE4-PDP-01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describes the practices and processes of designers and producers</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TE4-MSC-01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explains how materials, systems and components contribute to solutions</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TE4-DES-01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communicates and evaluates design ideas and solutions</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TE4-PPM-01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applies processes in the planning, management and production of projects</w:t>
            </w:r>
          </w:p>
        </w:tc>
      </w:tr>
      <w:tr>
        <w:trPr>
          <w:cantSplit/>
        </w:trPr>
        <w:tc>
          <w:tcPr>
            <w:tcW w:type="dxa" w:w="19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TE4-SAF-01</w:t>
            </w:r>
          </w:p>
        </w:tc>
        <w:tc>
          <w:tcPr>
            <w:tcW w:type="dxa" w:w="133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9"/>
              </w:rPr>
              <w:t>selects and safely uses tools, materials, technologies and processes</w:t>
            </w:r>
          </w:p>
        </w:tc>
      </w:tr>
    </w:tbl>
    <w:p>
      <w:pPr>
        <w:keepNext w:val="0"/>
        <w:keepLines w:val="0"/>
        <w:spacing w:before="100" w:after="0" w:line="240" w:lineRule="auto"/>
      </w:pPr>
      <w:r>
        <w:rPr>
          <w:rFonts w:ascii="Calibri" w:hAnsi="Calibri" w:eastAsia="Calibri"/>
          <w:b/>
          <w:color w:val="17482C"/>
          <w:sz w:val="18"/>
        </w:rPr>
        <w:t xml:space="preserve">Source and authority notes: </w:t>
      </w:r>
      <w:hyperlink r:id="rId11">
        <w:r>
          <w:rPr>
            <w:rFonts w:ascii="Calibri" w:hAnsi="Calibri"/>
            <w:color w:val="2E6B3D"/>
            <w:sz w:val="18"/>
            <w:b/>
            <w:u w:val="none"/>
          </w:rPr>
          <w:t>Technology 7-8 Syllabus (2023)</w:t>
        </w:r>
      </w:hyperlink>
      <w:r>
        <w:rPr>
          <w:rFonts w:ascii="Calibri" w:hAnsi="Calibri" w:eastAsia="Calibri"/>
          <w:color w:val="26342D"/>
          <w:sz w:val="18"/>
        </w:rPr>
        <w:t xml:space="preserve"> controls the course framework; </w:t>
      </w:r>
      <w:hyperlink r:id="rId12">
        <w:r>
          <w:rPr>
            <w:rFonts w:ascii="Calibri" w:hAnsi="Calibri"/>
            <w:color w:val="2E6B3D"/>
            <w:sz w:val="18"/>
            <w:b/>
            <w:u w:val="none"/>
          </w:rPr>
          <w:t>Stage 4 outcomes</w:t>
        </w:r>
      </w:hyperlink>
      <w:r>
        <w:rPr>
          <w:rFonts w:ascii="Calibri" w:hAnsi="Calibri" w:eastAsia="Calibri"/>
          <w:color w:val="26342D"/>
          <w:sz w:val="18"/>
        </w:rPr>
        <w:t xml:space="preserve"> and </w:t>
      </w:r>
      <w:hyperlink r:id="rId13">
        <w:r>
          <w:rPr>
            <w:rFonts w:ascii="Calibri" w:hAnsi="Calibri"/>
            <w:color w:val="2E6B3D"/>
            <w:sz w:val="18"/>
            <w:b/>
            <w:u w:val="none"/>
          </w:rPr>
          <w:t>Materials and production processes content</w:t>
        </w:r>
      </w:hyperlink>
      <w:r>
        <w:rPr>
          <w:rFonts w:ascii="Calibri" w:hAnsi="Calibri" w:eastAsia="Calibri"/>
          <w:color w:val="26342D"/>
          <w:sz w:val="18"/>
        </w:rPr>
        <w:t xml:space="preserve"> control syllabus wording. </w:t>
      </w:r>
      <w:hyperlink r:id="rId14">
        <w:r>
          <w:rPr>
            <w:rFonts w:ascii="Calibri" w:hAnsi="Calibri"/>
            <w:color w:val="2E6B3D"/>
            <w:sz w:val="18"/>
            <w:b/>
            <w:u w:val="none"/>
          </w:rPr>
          <w:t>Teacher Drive unit sources</w:t>
        </w:r>
      </w:hyperlink>
      <w:r>
        <w:rPr>
          <w:rFonts w:ascii="Calibri" w:hAnsi="Calibri" w:eastAsia="Calibri"/>
          <w:color w:val="26342D"/>
          <w:sz w:val="18"/>
        </w:rPr>
        <w:t xml:space="preserve"> guide the five-week sequence. This school-developed program is NESA-aligned; it is not NESA-approved or endorsed.</w:t>
      </w:r>
    </w:p>
    <w:p>
      <w:r>
        <w:br w:type="page"/>
      </w:r>
    </w:p>
    <w:p>
      <w:pPr>
        <w:pStyle w:val="Kicker"/>
      </w:pPr>
      <w:r>
        <w:t>WEEKS 1-2  ·  MODULES 1-2</w:t>
      </w:r>
    </w:p>
    <w:p>
      <w:pPr>
        <w:pStyle w:val="Heading1"/>
        <w:spacing w:before="0"/>
      </w:pPr>
      <w:r>
        <w:t>Teaching and learning sequence</w:t>
      </w:r>
    </w:p>
    <w:p>
      <w:pPr>
        <w:keepNext w:val="0"/>
        <w:keepLines w:val="0"/>
        <w:spacing w:before="0" w:after="100" w:line="240" w:lineRule="auto"/>
      </w:pPr>
      <w:r>
        <w:rPr>
          <w:rFonts w:ascii="Calibri" w:hAnsi="Calibri" w:eastAsia="Calibri"/>
          <w:i/>
          <w:color w:val="5F6B64"/>
          <w:sz w:val="19"/>
        </w:rPr>
        <w:t>Six flexible blocks establish the brief, readiness and design communication. Combine or distribute them only after the local timetable is confirmed.</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600"/>
        <w:gridCol w:w="1260"/>
        <w:gridCol w:w="2100"/>
        <w:gridCol w:w="4920"/>
        <w:gridCol w:w="3180"/>
        <w:gridCol w:w="3180"/>
      </w:tblGrid>
      <w:tr>
        <w:trPr>
          <w:tblHeader w:val="true"/>
          <w:cantSplit/>
        </w:trPr>
        <w:tc>
          <w:tcPr>
            <w:tcW w:type="dxa" w:w="600"/>
            <w:shd w:fill="2E6B3D" w:val="clear"/>
            <w:tcMar>
              <w:top w:w="45" w:type="dxa"/>
              <w:start w:w="20" w:type="dxa"/>
              <w:bottom w:w="45" w:type="dxa"/>
              <w:end w:w="20" w:type="dxa"/>
            </w:tcMar>
            <w:vAlign w:val="center"/>
          </w:tcPr>
          <w:p>
            <w:pPr>
              <w:keepNext w:val="0"/>
              <w:keepLines w:val="0"/>
              <w:spacing w:before="0" w:after="0" w:line="240" w:lineRule="auto"/>
              <w:jc w:val="center"/>
            </w:pPr>
            <w:r>
              <w:rPr>
                <w:rFonts w:ascii="Calibri" w:hAnsi="Calibri" w:eastAsia="Calibri"/>
                <w:b/>
                <w:color w:val="FFFFFF"/>
                <w:sz w:val="19"/>
              </w:rPr>
              <w:t>P</w:t>
            </w:r>
          </w:p>
        </w:tc>
        <w:tc>
          <w:tcPr>
            <w:tcW w:type="dxa" w:w="1260"/>
            <w:shd w:fill="2E6B3D" w:val="clear"/>
            <w:tcMar>
              <w:top w:w="70" w:type="dxa"/>
              <w:start w:w="90" w:type="dxa"/>
              <w:bottom w:w="70" w:type="dxa"/>
              <w:end w:w="90" w:type="dxa"/>
            </w:tcMar>
            <w:vAlign w:val="center"/>
          </w:tcPr>
          <w:p>
            <w:pPr>
              <w:keepNext w:val="0"/>
              <w:keepLines w:val="0"/>
              <w:spacing w:before="0" w:after="0" w:line="240" w:lineRule="auto"/>
              <w:jc w:val="center"/>
            </w:pPr>
            <w:r>
              <w:rPr>
                <w:rFonts w:ascii="Calibri" w:hAnsi="Calibri" w:eastAsia="Calibri"/>
                <w:b/>
                <w:color w:val="FFFFFF"/>
                <w:sz w:val="19"/>
              </w:rPr>
              <w:t>Type</w:t>
            </w:r>
          </w:p>
        </w:tc>
        <w:tc>
          <w:tcPr>
            <w:tcW w:type="dxa" w:w="210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Focus</w:t>
            </w:r>
          </w:p>
        </w:tc>
        <w:tc>
          <w:tcPr>
            <w:tcW w:type="dxa" w:w="492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Teaching and learning</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Syllabus content</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Evidence / outcomes</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W1-A</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Site/theory</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Read the product and user</w:t>
            </w:r>
          </w:p>
        </w:tc>
        <w:tc>
          <w:tcPr>
            <w:tcW w:type="dxa" w:w="4920"/>
            <w:tcMar>
              <w:top w:w="70" w:type="dxa"/>
              <w:start w:w="90" w:type="dxa"/>
              <w:bottom w:w="70" w:type="dxa"/>
              <w:end w:w="90" w:type="dxa"/>
            </w:tcMar>
            <w:vAlign w:val="center"/>
          </w:tcPr>
          <w:p>
            <w:pPr>
              <w:keepNext w:val="0"/>
              <w:keepLines/>
              <w:spacing w:before="0" w:after="40" w:line="240" w:lineRule="auto"/>
            </w:pPr>
            <w:hyperlink r:id="rId15">
              <w:r>
                <w:rPr>
                  <w:rFonts w:ascii="Calibri" w:hAnsi="Calibri"/>
                  <w:color w:val="2E6B3D"/>
                  <w:sz w:val="19"/>
                  <w:b/>
                  <w:u w:val="none"/>
                </w:rPr>
                <w:t>Module 1: Read the product and user</w:t>
              </w:r>
            </w:hyperlink>
            <w:r>
              <w:rPr>
                <w:rFonts w:ascii="Calibri" w:hAnsi="Calibri" w:eastAsia="Calibri"/>
                <w:color w:val="26342D"/>
                <w:sz w:val="19"/>
              </w:rPr>
              <w:t xml:space="preserve"> — Introduce purpose, user, context, form and function. Model the difference between visible observation and unsupported inference using privacy-safe product references.</w:t>
            </w:r>
          </w:p>
          <w:p>
            <w:pPr>
              <w:keepNext w:val="0"/>
              <w:keepLines/>
              <w:spacing w:before="0" w:after="20" w:line="240" w:lineRule="auto"/>
            </w:pPr>
            <w:hyperlink r:id="rId16">
              <w:r>
                <w:rPr>
                  <w:rFonts w:ascii="Calibri" w:hAnsi="Calibri"/>
                  <w:color w:val="2E6B3D"/>
                  <w:sz w:val="18"/>
                  <w:b/>
                  <w:u w:val="none"/>
                </w:rPr>
                <w:t>Evidence detective</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17">
              <w:r>
                <w:rPr>
                  <w:rFonts w:ascii="Calibri" w:hAnsi="Calibri"/>
                  <w:color w:val="2E6B3D"/>
                  <w:sz w:val="18"/>
                  <w:b/>
                  <w:u w:val="none"/>
                </w:rPr>
                <w:t>Knowledge check</w:t>
              </w:r>
            </w:hyperlink>
            <w:r>
              <w:rPr>
                <w:rFonts w:ascii="Calibri" w:hAnsi="Calibri" w:eastAsia="Calibri"/>
                <w:color w:val="26342D"/>
                <w:sz w:val="18"/>
              </w:rPr>
              <w:t xml:space="preserve"> and </w:t>
            </w:r>
            <w:hyperlink r:id="rId18">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Describe products and systems created by designers, producers and manufacturers</w:t>
            </w:r>
          </w:p>
          <w:p>
            <w:pPr>
              <w:keepNext w:val="0"/>
              <w:keepLines/>
              <w:spacing w:before="0" w:after="0" w:line="240" w:lineRule="auto"/>
            </w:pPr>
            <w:r>
              <w:rPr>
                <w:rFonts w:ascii="Calibri" w:hAnsi="Calibri" w:eastAsia="Calibri"/>
                <w:color w:val="26342D"/>
                <w:sz w:val="19"/>
              </w:rPr>
              <w:t>Outline factors affecting the design of products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Four-note evidence set, revised product-analysis sentence, 10 feedback-rich MCQs and the scaffolded analysis response.</w:t>
            </w:r>
          </w:p>
          <w:p>
            <w:pPr>
              <w:keepNext w:val="0"/>
              <w:keepLines/>
              <w:spacing w:before="0" w:after="40" w:line="240" w:lineRule="auto"/>
            </w:pPr>
            <w:hyperlink r:id="rId19">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TE4-PDP-01, TE4-DES-01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W1-B</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Criteria, constraints and project pathways</w:t>
            </w:r>
          </w:p>
        </w:tc>
        <w:tc>
          <w:tcPr>
            <w:tcW w:type="dxa" w:w="4920"/>
            <w:tcMar>
              <w:top w:w="70" w:type="dxa"/>
              <w:start w:w="90" w:type="dxa"/>
              <w:bottom w:w="70" w:type="dxa"/>
              <w:end w:w="90" w:type="dxa"/>
            </w:tcMar>
            <w:vAlign w:val="center"/>
          </w:tcPr>
          <w:p>
            <w:pPr>
              <w:keepNext w:val="0"/>
              <w:keepLines/>
              <w:spacing w:before="0" w:after="40" w:line="240" w:lineRule="auto"/>
            </w:pPr>
            <w:hyperlink r:id="rId20">
              <w:r>
                <w:rPr>
                  <w:rFonts w:ascii="Calibri" w:hAnsi="Calibri"/>
                  <w:color w:val="2E6B3D"/>
                  <w:sz w:val="19"/>
                  <w:b/>
                  <w:u w:val="none"/>
                </w:rPr>
                <w:t>Module 1: Criteria, constraints and project pathways</w:t>
              </w:r>
            </w:hyperlink>
            <w:r>
              <w:rPr>
                <w:rFonts w:ascii="Calibri" w:hAnsi="Calibri" w:eastAsia="Calibri"/>
                <w:color w:val="26342D"/>
                <w:sz w:val="19"/>
              </w:rPr>
              <w:t xml:space="preserve"> — Model a source-safe brief and sort criteria, constraints and confirmation questions. Compare the primary Swinging Sign with teacher-directed LED tea-light and pot-plant holder pathways without inventing specifications.</w:t>
            </w:r>
          </w:p>
          <w:p>
            <w:pPr>
              <w:keepNext w:val="0"/>
              <w:keepLines/>
              <w:spacing w:before="0" w:after="20" w:line="240" w:lineRule="auto"/>
            </w:pPr>
            <w:hyperlink r:id="rId21">
              <w:r>
                <w:rPr>
                  <w:rFonts w:ascii="Calibri" w:hAnsi="Calibri"/>
                  <w:color w:val="2E6B3D"/>
                  <w:sz w:val="18"/>
                  <w:b/>
                  <w:u w:val="none"/>
                </w:rPr>
                <w:t>Pathway brief studio</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22">
              <w:r>
                <w:rPr>
                  <w:rFonts w:ascii="Calibri" w:hAnsi="Calibri"/>
                  <w:color w:val="2E6B3D"/>
                  <w:sz w:val="18"/>
                  <w:b/>
                  <w:u w:val="none"/>
                </w:rPr>
                <w:t>Knowledge check</w:t>
              </w:r>
            </w:hyperlink>
            <w:r>
              <w:rPr>
                <w:rFonts w:ascii="Calibri" w:hAnsi="Calibri" w:eastAsia="Calibri"/>
                <w:color w:val="26342D"/>
                <w:sz w:val="18"/>
              </w:rPr>
              <w:t xml:space="preserve"> and </w:t>
            </w:r>
            <w:hyperlink r:id="rId23">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Outline factors affecting the design of products and solutions</w:t>
            </w:r>
          </w:p>
          <w:p>
            <w:pPr>
              <w:keepNext w:val="0"/>
              <w:keepLines/>
              <w:spacing w:before="0" w:after="0" w:line="240" w:lineRule="auto"/>
            </w:pPr>
            <w:r>
              <w:rPr>
                <w:rFonts w:ascii="Calibri" w:hAnsi="Calibri" w:eastAsia="Calibri"/>
                <w:color w:val="26342D"/>
                <w:sz w:val="19"/>
              </w:rPr>
              <w:t>Apply design and creative thinking to assess ideas and quality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Draft brief, labelled criteria and constraints, pathway trade-off, 10 MCQs and scaffolded justification.</w:t>
            </w:r>
          </w:p>
          <w:p>
            <w:pPr>
              <w:keepNext w:val="0"/>
              <w:keepLines/>
              <w:spacing w:before="0" w:after="40" w:line="240" w:lineRule="auto"/>
            </w:pPr>
            <w:hyperlink r:id="rId24">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TE4-DES-01, TE4-PPM-01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W1-C</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Site/theory</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Workshop readiness and sustainability</w:t>
            </w:r>
          </w:p>
        </w:tc>
        <w:tc>
          <w:tcPr>
            <w:tcW w:type="dxa" w:w="4920"/>
            <w:tcMar>
              <w:top w:w="70" w:type="dxa"/>
              <w:start w:w="90" w:type="dxa"/>
              <w:bottom w:w="70" w:type="dxa"/>
              <w:end w:w="90" w:type="dxa"/>
            </w:tcMar>
            <w:vAlign w:val="center"/>
          </w:tcPr>
          <w:p>
            <w:pPr>
              <w:keepNext w:val="0"/>
              <w:keepLines/>
              <w:spacing w:before="0" w:after="40" w:line="240" w:lineRule="auto"/>
            </w:pPr>
            <w:hyperlink r:id="rId25">
              <w:r>
                <w:rPr>
                  <w:rFonts w:ascii="Calibri" w:hAnsi="Calibri"/>
                  <w:color w:val="2E6B3D"/>
                  <w:sz w:val="19"/>
                  <w:b/>
                  <w:u w:val="none"/>
                </w:rPr>
                <w:t>Module 1: Workshop readiness and sustainability</w:t>
              </w:r>
            </w:hyperlink>
            <w:r>
              <w:rPr>
                <w:rFonts w:ascii="Calibri" w:hAnsi="Calibri" w:eastAsia="Calibri"/>
                <w:color w:val="26342D"/>
                <w:sz w:val="19"/>
              </w:rPr>
              <w:t xml:space="preserve"> — Explain hazard, risk, control, authorisation and the pause-and-ask decision. Trace sustainability across sourcing, production, use, maintenance and end of life; local controls remain teacher supplied.</w:t>
            </w:r>
          </w:p>
          <w:p>
            <w:pPr>
              <w:keepNext w:val="0"/>
              <w:keepLines/>
              <w:spacing w:before="0" w:after="20" w:line="240" w:lineRule="auto"/>
            </w:pPr>
            <w:hyperlink r:id="rId26">
              <w:r>
                <w:rPr>
                  <w:rFonts w:ascii="Calibri" w:hAnsi="Calibri"/>
                  <w:color w:val="2E6B3D"/>
                  <w:sz w:val="18"/>
                  <w:b/>
                  <w:u w:val="none"/>
                </w:rPr>
                <w:t>Decision gate: ready, responsible, recorded</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27">
              <w:r>
                <w:rPr>
                  <w:rFonts w:ascii="Calibri" w:hAnsi="Calibri"/>
                  <w:color w:val="2E6B3D"/>
                  <w:sz w:val="18"/>
                  <w:b/>
                  <w:u w:val="none"/>
                </w:rPr>
                <w:t>Knowledge check</w:t>
              </w:r>
            </w:hyperlink>
            <w:r>
              <w:rPr>
                <w:rFonts w:ascii="Calibri" w:hAnsi="Calibri" w:eastAsia="Calibri"/>
                <w:color w:val="26342D"/>
                <w:sz w:val="18"/>
              </w:rPr>
              <w:t xml:space="preserve"> and </w:t>
            </w:r>
            <w:hyperlink r:id="rId28">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Compare sustainable sourcing practices</w:t>
            </w:r>
          </w:p>
          <w:p>
            <w:pPr>
              <w:keepNext w:val="0"/>
              <w:keepLines/>
              <w:spacing w:before="0" w:after="40" w:line="240" w:lineRule="auto"/>
            </w:pPr>
            <w:r>
              <w:rPr>
                <w:rFonts w:ascii="Calibri" w:hAnsi="Calibri" w:eastAsia="Calibri"/>
                <w:color w:val="26342D"/>
                <w:sz w:val="19"/>
              </w:rPr>
              <w:t>Explain ethical and legal considerations for innovation, design and production processes</w:t>
            </w:r>
          </w:p>
          <w:p>
            <w:pPr>
              <w:keepNext w:val="0"/>
              <w:keepLines/>
              <w:spacing w:before="0" w:after="0" w:line="240" w:lineRule="auto"/>
            </w:pPr>
            <w:r>
              <w:rPr>
                <w:rFonts w:ascii="Calibri" w:hAnsi="Calibri" w:eastAsia="Calibri"/>
                <w:color w:val="26342D"/>
                <w:sz w:val="19"/>
              </w:rPr>
              <w:t>Demonstrate safe practices when selecting and using materials, technologies and processes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Readiness decision sheet, justified sustainability choice, 10 MCQs and scaffolded response.</w:t>
            </w:r>
          </w:p>
          <w:p>
            <w:pPr>
              <w:keepNext w:val="0"/>
              <w:keepLines/>
              <w:spacing w:before="0" w:after="40" w:line="240" w:lineRule="auto"/>
            </w:pPr>
            <w:hyperlink r:id="rId29">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TE4-SDP-01, TE4-SAF-01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W2-A</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Site/theory</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Vector and bitmap</w:t>
            </w:r>
          </w:p>
        </w:tc>
        <w:tc>
          <w:tcPr>
            <w:tcW w:type="dxa" w:w="4920"/>
            <w:tcMar>
              <w:top w:w="70" w:type="dxa"/>
              <w:start w:w="90" w:type="dxa"/>
              <w:bottom w:w="70" w:type="dxa"/>
              <w:end w:w="90" w:type="dxa"/>
            </w:tcMar>
            <w:vAlign w:val="center"/>
          </w:tcPr>
          <w:p>
            <w:pPr>
              <w:keepNext w:val="0"/>
              <w:keepLines/>
              <w:spacing w:before="0" w:after="40" w:line="240" w:lineRule="auto"/>
            </w:pPr>
            <w:hyperlink r:id="rId30">
              <w:r>
                <w:rPr>
                  <w:rFonts w:ascii="Calibri" w:hAnsi="Calibri"/>
                  <w:color w:val="2E6B3D"/>
                  <w:sz w:val="19"/>
                  <w:b/>
                  <w:u w:val="none"/>
                </w:rPr>
                <w:t>Module 2: Vector and bitmap</w:t>
              </w:r>
            </w:hyperlink>
            <w:r>
              <w:rPr>
                <w:rFonts w:ascii="Calibri" w:hAnsi="Calibri" w:eastAsia="Calibri"/>
                <w:color w:val="26342D"/>
                <w:sz w:val="19"/>
              </w:rPr>
              <w:t xml:space="preserve"> — Compare how vector and bitmap graphics store and scale images. Students inspect editing evidence, select suitable formats and explain why automatic tracing still needs review.</w:t>
            </w:r>
          </w:p>
          <w:p>
            <w:pPr>
              <w:keepNext w:val="0"/>
              <w:keepLines/>
              <w:spacing w:before="0" w:after="20" w:line="240" w:lineRule="auto"/>
            </w:pPr>
            <w:hyperlink r:id="rId31">
              <w:r>
                <w:rPr>
                  <w:rFonts w:ascii="Calibri" w:hAnsi="Calibri"/>
                  <w:color w:val="2E6B3D"/>
                  <w:sz w:val="18"/>
                  <w:b/>
                  <w:u w:val="none"/>
                </w:rPr>
                <w:t>Format triage</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32">
              <w:r>
                <w:rPr>
                  <w:rFonts w:ascii="Calibri" w:hAnsi="Calibri"/>
                  <w:color w:val="2E6B3D"/>
                  <w:sz w:val="18"/>
                  <w:b/>
                  <w:u w:val="none"/>
                </w:rPr>
                <w:t>Knowledge check</w:t>
              </w:r>
            </w:hyperlink>
            <w:r>
              <w:rPr>
                <w:rFonts w:ascii="Calibri" w:hAnsi="Calibri" w:eastAsia="Calibri"/>
                <w:color w:val="26342D"/>
                <w:sz w:val="18"/>
              </w:rPr>
              <w:t xml:space="preserve"> and </w:t>
            </w:r>
            <w:hyperlink r:id="rId33">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Use a range of sketching and drawing techniques to communicate ideas and solutions</w:t>
            </w:r>
          </w:p>
          <w:p>
            <w:pPr>
              <w:keepNext w:val="0"/>
              <w:keepLines/>
              <w:spacing w:before="0" w:after="0" w:line="240" w:lineRule="auto"/>
            </w:pPr>
            <w:r>
              <w:rPr>
                <w:rFonts w:ascii="Calibri" w:hAnsi="Calibri" w:eastAsia="Calibri"/>
                <w:color w:val="26342D"/>
                <w:sz w:val="19"/>
              </w:rPr>
              <w:t>Communicate the development of design ideas and solutions, using annotations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Format triage with four justifications, tracing-risk note, 10 MCQs and scaffolded comparison.</w:t>
            </w:r>
          </w:p>
          <w:p>
            <w:pPr>
              <w:keepNext w:val="0"/>
              <w:keepLines/>
              <w:spacing w:before="0" w:after="40" w:line="240" w:lineRule="auto"/>
            </w:pPr>
            <w:hyperlink r:id="rId34">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TE4-DES-01, TE4-PDP-01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W2-B</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Onshape sketches and features</w:t>
            </w:r>
          </w:p>
        </w:tc>
        <w:tc>
          <w:tcPr>
            <w:tcW w:type="dxa" w:w="4920"/>
            <w:tcMar>
              <w:top w:w="70" w:type="dxa"/>
              <w:start w:w="90" w:type="dxa"/>
              <w:bottom w:w="70" w:type="dxa"/>
              <w:end w:w="90" w:type="dxa"/>
            </w:tcMar>
            <w:vAlign w:val="center"/>
          </w:tcPr>
          <w:p>
            <w:pPr>
              <w:keepNext w:val="0"/>
              <w:keepLines/>
              <w:spacing w:before="0" w:after="40" w:line="240" w:lineRule="auto"/>
            </w:pPr>
            <w:hyperlink r:id="rId35">
              <w:r>
                <w:rPr>
                  <w:rFonts w:ascii="Calibri" w:hAnsi="Calibri"/>
                  <w:color w:val="2E6B3D"/>
                  <w:sz w:val="19"/>
                  <w:b/>
                  <w:u w:val="none"/>
                </w:rPr>
                <w:t>Module 2: Onshape sketches and features</w:t>
              </w:r>
            </w:hyperlink>
            <w:r>
              <w:rPr>
                <w:rFonts w:ascii="Calibri" w:hAnsi="Calibri" w:eastAsia="Calibri"/>
                <w:color w:val="26342D"/>
                <w:sz w:val="19"/>
              </w:rPr>
              <w:t xml:space="preserve"> — Model how a purposeful sketch plane, dimensions and geometric constraints capture design intent, then connect the controlled sketch to a basic Onshape feature and versioned review workflow.</w:t>
            </w:r>
          </w:p>
          <w:p>
            <w:pPr>
              <w:keepNext w:val="0"/>
              <w:keepLines/>
              <w:spacing w:before="0" w:after="20" w:line="240" w:lineRule="auto"/>
            </w:pPr>
            <w:hyperlink r:id="rId36">
              <w:r>
                <w:rPr>
                  <w:rFonts w:ascii="Calibri" w:hAnsi="Calibri"/>
                  <w:color w:val="2E6B3D"/>
                  <w:sz w:val="18"/>
                  <w:b/>
                  <w:u w:val="none"/>
                </w:rPr>
                <w:t>Onshape constraint clinic</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37">
              <w:r>
                <w:rPr>
                  <w:rFonts w:ascii="Calibri" w:hAnsi="Calibri"/>
                  <w:color w:val="2E6B3D"/>
                  <w:sz w:val="18"/>
                  <w:b/>
                  <w:u w:val="none"/>
                </w:rPr>
                <w:t>Knowledge check</w:t>
              </w:r>
            </w:hyperlink>
            <w:r>
              <w:rPr>
                <w:rFonts w:ascii="Calibri" w:hAnsi="Calibri" w:eastAsia="Calibri"/>
                <w:color w:val="26342D"/>
                <w:sz w:val="18"/>
              </w:rPr>
              <w:t xml:space="preserve"> and </w:t>
            </w:r>
            <w:hyperlink r:id="rId38">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Use a range of sketching and drawing techniques to communicate ideas and solutions</w:t>
            </w:r>
          </w:p>
          <w:p>
            <w:pPr>
              <w:keepNext w:val="0"/>
              <w:keepLines/>
              <w:spacing w:before="0" w:after="40" w:line="240" w:lineRule="auto"/>
            </w:pPr>
            <w:r>
              <w:rPr>
                <w:rFonts w:ascii="Calibri" w:hAnsi="Calibri" w:eastAsia="Calibri"/>
                <w:color w:val="26342D"/>
                <w:sz w:val="19"/>
              </w:rPr>
              <w:t>Communicate the development of design ideas and solutions, using annotations</w:t>
            </w:r>
          </w:p>
          <w:p>
            <w:pPr>
              <w:keepNext w:val="0"/>
              <w:keepLines/>
              <w:spacing w:before="0" w:after="0" w:line="240" w:lineRule="auto"/>
            </w:pPr>
            <w:r>
              <w:rPr>
                <w:rFonts w:ascii="Calibri" w:hAnsi="Calibri" w:eastAsia="Calibri"/>
                <w:color w:val="26342D"/>
                <w:sz w:val="19"/>
              </w:rPr>
              <w:t>Document design processes when using materials and production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Onshape constraint-clinic observations, dimension and constraint reasons, sketch-to-feature explanation, review note, 10 MCQs and scaffolded workflow response.</w:t>
            </w:r>
          </w:p>
          <w:p>
            <w:pPr>
              <w:keepNext w:val="0"/>
              <w:keepLines/>
              <w:spacing w:before="0" w:after="40" w:line="240" w:lineRule="auto"/>
            </w:pPr>
            <w:hyperlink r:id="rId39">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TE4-DES-01, TE4-PPM-01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W2-C</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Legibility, annotation and peer review</w:t>
            </w:r>
          </w:p>
        </w:tc>
        <w:tc>
          <w:tcPr>
            <w:tcW w:type="dxa" w:w="4920"/>
            <w:tcMar>
              <w:top w:w="70" w:type="dxa"/>
              <w:start w:w="90" w:type="dxa"/>
              <w:bottom w:w="70" w:type="dxa"/>
              <w:end w:w="90" w:type="dxa"/>
            </w:tcMar>
            <w:vAlign w:val="center"/>
          </w:tcPr>
          <w:p>
            <w:pPr>
              <w:keepNext w:val="0"/>
              <w:keepLines/>
              <w:spacing w:before="0" w:after="40" w:line="240" w:lineRule="auto"/>
            </w:pPr>
            <w:hyperlink r:id="rId40">
              <w:r>
                <w:rPr>
                  <w:rFonts w:ascii="Calibri" w:hAnsi="Calibri"/>
                  <w:color w:val="2E6B3D"/>
                  <w:sz w:val="19"/>
                  <w:b/>
                  <w:u w:val="none"/>
                </w:rPr>
                <w:t>Module 2: Legibility, annotation and peer review</w:t>
              </w:r>
            </w:hyperlink>
            <w:r>
              <w:rPr>
                <w:rFonts w:ascii="Calibri" w:hAnsi="Calibri" w:eastAsia="Calibri"/>
                <w:color w:val="26342D"/>
                <w:sz w:val="19"/>
              </w:rPr>
              <w:t xml:space="preserve"> — Test visual hierarchy in a teacher-approved viewing routine. Model feature-reason-effect annotations and notice-connect-suggest peer feedback linked to criteria, then revise one design decision.</w:t>
            </w:r>
          </w:p>
          <w:p>
            <w:pPr>
              <w:keepNext w:val="0"/>
              <w:keepLines/>
              <w:spacing w:before="0" w:after="20" w:line="240" w:lineRule="auto"/>
            </w:pPr>
            <w:hyperlink r:id="rId41">
              <w:r>
                <w:rPr>
                  <w:rFonts w:ascii="Calibri" w:hAnsi="Calibri"/>
                  <w:color w:val="2E6B3D"/>
                  <w:sz w:val="18"/>
                  <w:b/>
                  <w:u w:val="none"/>
                </w:rPr>
                <w:t>Legibility lab</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42">
              <w:r>
                <w:rPr>
                  <w:rFonts w:ascii="Calibri" w:hAnsi="Calibri"/>
                  <w:color w:val="2E6B3D"/>
                  <w:sz w:val="18"/>
                  <w:b/>
                  <w:u w:val="none"/>
                </w:rPr>
                <w:t>Knowledge check</w:t>
              </w:r>
            </w:hyperlink>
            <w:r>
              <w:rPr>
                <w:rFonts w:ascii="Calibri" w:hAnsi="Calibri" w:eastAsia="Calibri"/>
                <w:color w:val="26342D"/>
                <w:sz w:val="18"/>
              </w:rPr>
              <w:t xml:space="preserve"> and </w:t>
            </w:r>
            <w:hyperlink r:id="rId43">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Apply design and creative thinking to assess ideas and quality solutions</w:t>
            </w:r>
          </w:p>
          <w:p>
            <w:pPr>
              <w:keepNext w:val="0"/>
              <w:keepLines/>
              <w:spacing w:before="0" w:after="40" w:line="240" w:lineRule="auto"/>
            </w:pPr>
            <w:r>
              <w:rPr>
                <w:rFonts w:ascii="Calibri" w:hAnsi="Calibri" w:eastAsia="Calibri"/>
                <w:color w:val="26342D"/>
                <w:sz w:val="19"/>
              </w:rPr>
              <w:t>Communicate the development of design ideas and solutions, using annotations</w:t>
            </w:r>
          </w:p>
          <w:p>
            <w:pPr>
              <w:keepNext w:val="0"/>
              <w:keepLines/>
              <w:spacing w:before="0" w:after="0" w:line="240" w:lineRule="auto"/>
            </w:pPr>
            <w:r>
              <w:rPr>
                <w:rFonts w:ascii="Calibri" w:hAnsi="Calibri" w:eastAsia="Calibri"/>
                <w:color w:val="26342D"/>
                <w:sz w:val="19"/>
              </w:rPr>
              <w:t>Work collaboratively to test, modify and improve the quality of ideas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Reading-order record, criteria-based feedback slip, annotated revision, 10 MCQs and scaffolded evaluation.</w:t>
            </w:r>
          </w:p>
          <w:p>
            <w:pPr>
              <w:keepNext w:val="0"/>
              <w:keepLines/>
              <w:spacing w:before="0" w:after="40" w:line="240" w:lineRule="auto"/>
            </w:pPr>
            <w:hyperlink r:id="rId34">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TE4-DES-01, TE4-PDP-01</w:t>
            </w:r>
          </w:p>
        </w:tc>
      </w:tr>
    </w:tbl>
    <w:p>
      <w:pPr>
        <w:pStyle w:val="Heading2"/>
        <w:spacing w:before="160"/>
      </w:pPr>
      <w:r>
        <w:t>Whole-course teaching controls · access and capability</w:t>
      </w:r>
    </w:p>
    <w:p>
      <w:pPr>
        <w:keepNext w:val="0"/>
        <w:keepLines/>
        <w:spacing w:before="0" w:after="80" w:line="264" w:lineRule="auto"/>
      </w:pPr>
      <w:r>
        <w:rPr>
          <w:rFonts w:ascii="Calibri" w:hAnsi="Calibri" w:eastAsia="Calibri"/>
          <w:b/>
          <w:color w:val="17482C"/>
          <w:sz w:val="19"/>
        </w:rPr>
        <w:t xml:space="preserve">Adjustments and differentiation: </w:t>
      </w:r>
      <w:r>
        <w:rPr>
          <w:rFonts w:ascii="Calibri" w:hAnsi="Calibri" w:eastAsia="Calibri"/>
          <w:color w:val="26342D"/>
          <w:sz w:val="19"/>
        </w:rPr>
        <w:t>Use the complete non-video pathway, chunk long responses through the three scaffold prompts, pre-teach vocabulary, provide worked examples, allow speech-to-text or oral rehearsal where appropriate, and extend students through cross-pathway comparison. Adjustments support access without lowering the evidence target.</w:t>
      </w:r>
    </w:p>
    <w:p>
      <w:pPr>
        <w:keepNext w:val="0"/>
        <w:keepLines/>
        <w:spacing w:before="0" w:after="80" w:line="264" w:lineRule="auto"/>
      </w:pPr>
      <w:r>
        <w:rPr>
          <w:rFonts w:ascii="Calibri" w:hAnsi="Calibri" w:eastAsia="Calibri"/>
          <w:b/>
          <w:color w:val="17482C"/>
          <w:sz w:val="19"/>
        </w:rPr>
        <w:t xml:space="preserve">Literacy, numeracy and digital demands: </w:t>
      </w:r>
      <w:r>
        <w:rPr>
          <w:rFonts w:ascii="Calibri" w:hAnsi="Calibri" w:eastAsia="Calibri"/>
          <w:color w:val="26342D"/>
          <w:sz w:val="19"/>
        </w:rPr>
        <w:t>Literacy centres on precise observation, feature-reason-effect annotations, criteria-based judgements and extended explanation. Numeracy includes scale awareness, measurement language, comparison, simple area/yield reasoning and evidence limits. Digital work includes vector/bitmap concepts, Onshape sketches and drawings, constraints, version control, file review and browser-local evidence backup.</w:t>
      </w:r>
    </w:p>
    <w:p>
      <w:pPr>
        <w:keepNext w:val="0"/>
        <w:keepLines/>
        <w:spacing w:before="0" w:after="80" w:line="264" w:lineRule="auto"/>
      </w:pPr>
      <w:r>
        <w:rPr>
          <w:rFonts w:ascii="Calibri" w:hAnsi="Calibri" w:eastAsia="Calibri"/>
          <w:b/>
          <w:color w:val="17482C"/>
          <w:sz w:val="19"/>
        </w:rPr>
        <w:t xml:space="preserve">Sustainability and resource decisions: </w:t>
      </w:r>
      <w:r>
        <w:rPr>
          <w:rFonts w:ascii="Calibri" w:hAnsi="Calibri" w:eastAsia="Calibri"/>
          <w:color w:val="26342D"/>
          <w:sz w:val="19"/>
        </w:rPr>
        <w:t>Track material quantity, layout efficiency, connected offcuts, durability, maintenance and end-of-life thinking. Sustainability claims require evidence; recyclability alone is not enough. The unit does not claim the Aboriginal and Torres Strait Islander Peoples content point without an approved local Cultural source and protocol.</w:t>
      </w:r>
    </w:p>
    <w:p>
      <w:r>
        <w:br w:type="page"/>
      </w:r>
    </w:p>
    <w:p>
      <w:pPr>
        <w:pStyle w:val="Kicker"/>
      </w:pPr>
      <w:r>
        <w:t>WEEKS 3-4  ·  MODULES 3-4</w:t>
      </w:r>
    </w:p>
    <w:p>
      <w:pPr>
        <w:pStyle w:val="Heading1"/>
        <w:spacing w:before="0"/>
      </w:pPr>
      <w:r>
        <w:t>Teaching and learning sequence</w:t>
      </w:r>
    </w:p>
    <w:p>
      <w:pPr>
        <w:keepNext w:val="0"/>
        <w:keepLines w:val="0"/>
        <w:spacing w:before="0" w:after="100" w:line="240" w:lineRule="auto"/>
      </w:pPr>
      <w:r>
        <w:rPr>
          <w:rFonts w:ascii="Calibri" w:hAnsi="Calibri" w:eastAsia="Calibri"/>
          <w:i/>
          <w:color w:val="5F6B64"/>
          <w:sz w:val="19"/>
        </w:rPr>
        <w:t>Six flexible blocks move from material and approval reasoning into production control and evidence. Practical work remains conditional on current local authority.</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600"/>
        <w:gridCol w:w="1260"/>
        <w:gridCol w:w="2100"/>
        <w:gridCol w:w="4920"/>
        <w:gridCol w:w="3180"/>
        <w:gridCol w:w="3180"/>
      </w:tblGrid>
      <w:tr>
        <w:trPr>
          <w:tblHeader w:val="true"/>
          <w:cantSplit/>
        </w:trPr>
        <w:tc>
          <w:tcPr>
            <w:tcW w:type="dxa" w:w="600"/>
            <w:shd w:fill="2E6B3D" w:val="clear"/>
            <w:tcMar>
              <w:top w:w="45" w:type="dxa"/>
              <w:start w:w="20" w:type="dxa"/>
              <w:bottom w:w="45" w:type="dxa"/>
              <w:end w:w="20" w:type="dxa"/>
            </w:tcMar>
            <w:vAlign w:val="center"/>
          </w:tcPr>
          <w:p>
            <w:pPr>
              <w:keepNext w:val="0"/>
              <w:keepLines w:val="0"/>
              <w:spacing w:before="0" w:after="0" w:line="240" w:lineRule="auto"/>
              <w:jc w:val="center"/>
            </w:pPr>
            <w:r>
              <w:rPr>
                <w:rFonts w:ascii="Calibri" w:hAnsi="Calibri" w:eastAsia="Calibri"/>
                <w:b/>
                <w:color w:val="FFFFFF"/>
                <w:sz w:val="19"/>
              </w:rPr>
              <w:t>P</w:t>
            </w:r>
          </w:p>
        </w:tc>
        <w:tc>
          <w:tcPr>
            <w:tcW w:type="dxa" w:w="1260"/>
            <w:shd w:fill="2E6B3D" w:val="clear"/>
            <w:tcMar>
              <w:top w:w="70" w:type="dxa"/>
              <w:start w:w="90" w:type="dxa"/>
              <w:bottom w:w="70" w:type="dxa"/>
              <w:end w:w="90" w:type="dxa"/>
            </w:tcMar>
            <w:vAlign w:val="center"/>
          </w:tcPr>
          <w:p>
            <w:pPr>
              <w:keepNext w:val="0"/>
              <w:keepLines w:val="0"/>
              <w:spacing w:before="0" w:after="0" w:line="240" w:lineRule="auto"/>
              <w:jc w:val="center"/>
            </w:pPr>
            <w:r>
              <w:rPr>
                <w:rFonts w:ascii="Calibri" w:hAnsi="Calibri" w:eastAsia="Calibri"/>
                <w:b/>
                <w:color w:val="FFFFFF"/>
                <w:sz w:val="19"/>
              </w:rPr>
              <w:t>Type</w:t>
            </w:r>
          </w:p>
        </w:tc>
        <w:tc>
          <w:tcPr>
            <w:tcW w:type="dxa" w:w="210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Focus</w:t>
            </w:r>
          </w:p>
        </w:tc>
        <w:tc>
          <w:tcPr>
            <w:tcW w:type="dxa" w:w="492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Teaching and learning</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Syllabus content</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Evidence / outcomes</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W3-A</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Site/theory</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Material properties and selection</w:t>
            </w:r>
          </w:p>
        </w:tc>
        <w:tc>
          <w:tcPr>
            <w:tcW w:type="dxa" w:w="4920"/>
            <w:tcMar>
              <w:top w:w="70" w:type="dxa"/>
              <w:start w:w="90" w:type="dxa"/>
              <w:bottom w:w="70" w:type="dxa"/>
              <w:end w:w="90" w:type="dxa"/>
            </w:tcMar>
            <w:vAlign w:val="center"/>
          </w:tcPr>
          <w:p>
            <w:pPr>
              <w:keepNext w:val="0"/>
              <w:keepLines/>
              <w:spacing w:before="0" w:after="40" w:line="240" w:lineRule="auto"/>
            </w:pPr>
            <w:hyperlink r:id="rId44">
              <w:r>
                <w:rPr>
                  <w:rFonts w:ascii="Calibri" w:hAnsi="Calibri"/>
                  <w:color w:val="2E6B3D"/>
                  <w:sz w:val="19"/>
                  <w:b/>
                  <w:u w:val="none"/>
                </w:rPr>
                <w:t>Module 3: Material properties and selection</w:t>
              </w:r>
            </w:hyperlink>
            <w:r>
              <w:rPr>
                <w:rFonts w:ascii="Calibri" w:hAnsi="Calibri" w:eastAsia="Calibri"/>
                <w:color w:val="26342D"/>
                <w:sz w:val="19"/>
              </w:rPr>
              <w:t xml:space="preserve"> — Connect material properties to confirmed purpose, environment and appearance. Compare only teacher-approved options and make a provisional selection that identifies evidence, a trade-off and remaining unknowns.</w:t>
            </w:r>
          </w:p>
          <w:p>
            <w:pPr>
              <w:keepNext w:val="0"/>
              <w:keepLines/>
              <w:spacing w:before="0" w:after="20" w:line="240" w:lineRule="auto"/>
            </w:pPr>
            <w:hyperlink r:id="rId45">
              <w:r>
                <w:rPr>
                  <w:rFonts w:ascii="Calibri" w:hAnsi="Calibri"/>
                  <w:color w:val="2E6B3D"/>
                  <w:sz w:val="18"/>
                  <w:b/>
                  <w:u w:val="none"/>
                </w:rPr>
                <w:t>Build a property decision matrix</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46">
              <w:r>
                <w:rPr>
                  <w:rFonts w:ascii="Calibri" w:hAnsi="Calibri"/>
                  <w:color w:val="2E6B3D"/>
                  <w:sz w:val="18"/>
                  <w:b/>
                  <w:u w:val="none"/>
                </w:rPr>
                <w:t>Knowledge check</w:t>
              </w:r>
            </w:hyperlink>
            <w:r>
              <w:rPr>
                <w:rFonts w:ascii="Calibri" w:hAnsi="Calibri" w:eastAsia="Calibri"/>
                <w:color w:val="26342D"/>
                <w:sz w:val="18"/>
              </w:rPr>
              <w:t xml:space="preserve"> and </w:t>
            </w:r>
            <w:hyperlink r:id="rId47">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Identify the characteristics and properties of materials</w:t>
            </w:r>
          </w:p>
          <w:p>
            <w:pPr>
              <w:keepNext w:val="0"/>
              <w:keepLines/>
              <w:spacing w:before="0" w:after="40" w:line="240" w:lineRule="auto"/>
            </w:pPr>
            <w:r>
              <w:rPr>
                <w:rFonts w:ascii="Calibri" w:hAnsi="Calibri" w:eastAsia="Calibri"/>
                <w:color w:val="26342D"/>
                <w:sz w:val="19"/>
              </w:rPr>
              <w:t>Describe how the properties of materials and production techniques contribute to the quality of solutions</w:t>
            </w:r>
          </w:p>
          <w:p>
            <w:pPr>
              <w:keepNext w:val="0"/>
              <w:keepLines/>
              <w:spacing w:before="0" w:after="0" w:line="240" w:lineRule="auto"/>
            </w:pPr>
            <w:r>
              <w:rPr>
                <w:rFonts w:ascii="Calibri" w:hAnsi="Calibri" w:eastAsia="Calibri"/>
                <w:color w:val="26342D"/>
                <w:sz w:val="19"/>
              </w:rPr>
              <w:t>Justify the selection and use of a range of tools, materials, techniques and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Property decision matrix, provisional recommendation, 10 MCQs and scaffolded material justification.</w:t>
            </w:r>
          </w:p>
          <w:p>
            <w:pPr>
              <w:keepNext w:val="0"/>
              <w:keepLines/>
              <w:spacing w:before="0" w:after="40" w:line="240" w:lineRule="auto"/>
            </w:pPr>
            <w:hyperlink r:id="rId48">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TE4-MSC-01, TE4-DES-01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W3-B</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Measurement, layout and resource efficiency</w:t>
            </w:r>
          </w:p>
        </w:tc>
        <w:tc>
          <w:tcPr>
            <w:tcW w:type="dxa" w:w="4920"/>
            <w:tcMar>
              <w:top w:w="70" w:type="dxa"/>
              <w:start w:w="90" w:type="dxa"/>
              <w:bottom w:w="70" w:type="dxa"/>
              <w:end w:w="90" w:type="dxa"/>
            </w:tcMar>
            <w:vAlign w:val="center"/>
          </w:tcPr>
          <w:p>
            <w:pPr>
              <w:keepNext w:val="0"/>
              <w:keepLines/>
              <w:spacing w:before="0" w:after="40" w:line="240" w:lineRule="auto"/>
            </w:pPr>
            <w:hyperlink r:id="rId49">
              <w:r>
                <w:rPr>
                  <w:rFonts w:ascii="Calibri" w:hAnsi="Calibri"/>
                  <w:color w:val="2E6B3D"/>
                  <w:sz w:val="19"/>
                  <w:b/>
                  <w:u w:val="none"/>
                </w:rPr>
                <w:t>Module 3: Measurement, layout and resource efficiency</w:t>
              </w:r>
            </w:hyperlink>
            <w:r>
              <w:rPr>
                <w:rFonts w:ascii="Calibri" w:hAnsi="Calibri" w:eastAsia="Calibri"/>
                <w:color w:val="26342D"/>
                <w:sz w:val="19"/>
              </w:rPr>
              <w:t xml:space="preserve"> — Use paper layouts and simple area or yield reasoning to compare resource efficiency. Separate design intent from teacher-confirmed dimensions, spacing, margins, kerf and stock facts.</w:t>
            </w:r>
          </w:p>
          <w:p>
            <w:pPr>
              <w:keepNext w:val="0"/>
              <w:keepLines/>
              <w:spacing w:before="0" w:after="20" w:line="240" w:lineRule="auto"/>
            </w:pPr>
            <w:hyperlink r:id="rId50">
              <w:r>
                <w:rPr>
                  <w:rFonts w:ascii="Calibri" w:hAnsi="Calibri"/>
                  <w:color w:val="2E6B3D"/>
                  <w:sz w:val="18"/>
                  <w:b/>
                  <w:u w:val="none"/>
                </w:rPr>
                <w:t>Paper nesting challenge</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51">
              <w:r>
                <w:rPr>
                  <w:rFonts w:ascii="Calibri" w:hAnsi="Calibri"/>
                  <w:color w:val="2E6B3D"/>
                  <w:sz w:val="18"/>
                  <w:b/>
                  <w:u w:val="none"/>
                </w:rPr>
                <w:t>Knowledge check</w:t>
              </w:r>
            </w:hyperlink>
            <w:r>
              <w:rPr>
                <w:rFonts w:ascii="Calibri" w:hAnsi="Calibri" w:eastAsia="Calibri"/>
                <w:color w:val="26342D"/>
                <w:sz w:val="18"/>
              </w:rPr>
              <w:t xml:space="preserve"> and </w:t>
            </w:r>
            <w:hyperlink r:id="rId52">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Outline factors affecting the design of products and solutions</w:t>
            </w:r>
          </w:p>
          <w:p>
            <w:pPr>
              <w:keepNext w:val="0"/>
              <w:keepLines/>
              <w:spacing w:before="0" w:after="40" w:line="240" w:lineRule="auto"/>
            </w:pPr>
            <w:r>
              <w:rPr>
                <w:rFonts w:ascii="Calibri" w:hAnsi="Calibri" w:eastAsia="Calibri"/>
                <w:color w:val="26342D"/>
                <w:sz w:val="19"/>
              </w:rPr>
              <w:t>Compare sustainable sourcing practices</w:t>
            </w:r>
          </w:p>
          <w:p>
            <w:pPr>
              <w:keepNext w:val="0"/>
              <w:keepLines/>
              <w:spacing w:before="0" w:after="0" w:line="240" w:lineRule="auto"/>
            </w:pPr>
            <w:r>
              <w:rPr>
                <w:rFonts w:ascii="Calibri" w:hAnsi="Calibri" w:eastAsia="Calibri"/>
                <w:color w:val="26342D"/>
                <w:sz w:val="19"/>
              </w:rPr>
              <w:t>Document design processes when using materials and production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Two annotated layouts, comparison calculation or estimate, 10 MCQs and scaffolded efficiency response.</w:t>
            </w:r>
          </w:p>
          <w:p>
            <w:pPr>
              <w:keepNext w:val="0"/>
              <w:keepLines/>
              <w:spacing w:before="0" w:after="40" w:line="240" w:lineRule="auto"/>
            </w:pPr>
            <w:hyperlink r:id="rId53">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TE4-SDP-01, TE4-PPM-01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W3-C</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Onshape drawings, mounting and approval</w:t>
            </w:r>
          </w:p>
        </w:tc>
        <w:tc>
          <w:tcPr>
            <w:tcW w:type="dxa" w:w="4920"/>
            <w:tcMar>
              <w:top w:w="70" w:type="dxa"/>
              <w:start w:w="90" w:type="dxa"/>
              <w:bottom w:w="70" w:type="dxa"/>
              <w:end w:w="90" w:type="dxa"/>
            </w:tcMar>
            <w:vAlign w:val="center"/>
          </w:tcPr>
          <w:p>
            <w:pPr>
              <w:keepNext w:val="0"/>
              <w:keepLines/>
              <w:spacing w:before="0" w:after="40" w:line="240" w:lineRule="auto"/>
            </w:pPr>
            <w:hyperlink r:id="rId54">
              <w:r>
                <w:rPr>
                  <w:rFonts w:ascii="Calibri" w:hAnsi="Calibri"/>
                  <w:color w:val="2E6B3D"/>
                  <w:sz w:val="19"/>
                  <w:b/>
                  <w:u w:val="none"/>
                </w:rPr>
                <w:t>Module 3: Onshape drawings, mounting and approval</w:t>
              </w:r>
            </w:hyperlink>
            <w:r>
              <w:rPr>
                <w:rFonts w:ascii="Calibri" w:hAnsi="Calibri" w:eastAsia="Calibri"/>
                <w:color w:val="26342D"/>
                <w:sz w:val="19"/>
              </w:rPr>
              <w:t xml:space="preserve"> — Assemble a reviewable approval pack: current Onshape drawing, version record, criteria, mounting concept and unresolved questions. Make the teacher approval gate explicit before any export or practical production.</w:t>
            </w:r>
          </w:p>
          <w:p>
            <w:pPr>
              <w:keepNext w:val="0"/>
              <w:keepLines/>
              <w:spacing w:before="0" w:after="20" w:line="240" w:lineRule="auto"/>
            </w:pPr>
            <w:hyperlink r:id="rId55">
              <w:r>
                <w:rPr>
                  <w:rFonts w:ascii="Calibri" w:hAnsi="Calibri"/>
                  <w:color w:val="2E6B3D"/>
                  <w:sz w:val="18"/>
                  <w:b/>
                  <w:u w:val="none"/>
                </w:rPr>
                <w:t>Audit a fictional approval pack</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56">
              <w:r>
                <w:rPr>
                  <w:rFonts w:ascii="Calibri" w:hAnsi="Calibri"/>
                  <w:color w:val="2E6B3D"/>
                  <w:sz w:val="18"/>
                  <w:b/>
                  <w:u w:val="none"/>
                </w:rPr>
                <w:t>Knowledge check</w:t>
              </w:r>
            </w:hyperlink>
            <w:r>
              <w:rPr>
                <w:rFonts w:ascii="Calibri" w:hAnsi="Calibri" w:eastAsia="Calibri"/>
                <w:color w:val="26342D"/>
                <w:sz w:val="18"/>
              </w:rPr>
              <w:t xml:space="preserve"> and </w:t>
            </w:r>
            <w:hyperlink r:id="rId57">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Outline factors affecting the design of products and solutions</w:t>
            </w:r>
          </w:p>
          <w:p>
            <w:pPr>
              <w:keepNext w:val="0"/>
              <w:keepLines/>
              <w:spacing w:before="0" w:after="40" w:line="240" w:lineRule="auto"/>
            </w:pPr>
            <w:r>
              <w:rPr>
                <w:rFonts w:ascii="Calibri" w:hAnsi="Calibri" w:eastAsia="Calibri"/>
                <w:color w:val="26342D"/>
                <w:sz w:val="19"/>
              </w:rPr>
              <w:t>Communicate the development of design ideas and solutions, using annotations</w:t>
            </w:r>
          </w:p>
          <w:p>
            <w:pPr>
              <w:keepNext w:val="0"/>
              <w:keepLines/>
              <w:spacing w:before="0" w:after="0" w:line="240" w:lineRule="auto"/>
            </w:pPr>
            <w:r>
              <w:rPr>
                <w:rFonts w:ascii="Calibri" w:hAnsi="Calibri" w:eastAsia="Calibri"/>
                <w:color w:val="26342D"/>
                <w:sz w:val="19"/>
              </w:rPr>
              <w:t>Document design processes when using materials and production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Onshape drawing-and-approval audit, three review questions, version record, 10 MCQs and scaffolded proposal response.</w:t>
            </w:r>
          </w:p>
          <w:p>
            <w:pPr>
              <w:keepNext w:val="0"/>
              <w:keepLines/>
              <w:spacing w:before="0" w:after="40" w:line="240" w:lineRule="auto"/>
            </w:pPr>
            <w:hyperlink r:id="rId53">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TE4-DES-01, TE4-PPM-01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W4-A</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Site/theory</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Production sequence and authorisation</w:t>
            </w:r>
          </w:p>
        </w:tc>
        <w:tc>
          <w:tcPr>
            <w:tcW w:type="dxa" w:w="4920"/>
            <w:tcMar>
              <w:top w:w="70" w:type="dxa"/>
              <w:start w:w="90" w:type="dxa"/>
              <w:bottom w:w="70" w:type="dxa"/>
              <w:end w:w="90" w:type="dxa"/>
            </w:tcMar>
            <w:vAlign w:val="center"/>
          </w:tcPr>
          <w:p>
            <w:pPr>
              <w:keepNext w:val="0"/>
              <w:keepLines/>
              <w:spacing w:before="0" w:after="40" w:line="240" w:lineRule="auto"/>
            </w:pPr>
            <w:hyperlink r:id="rId58">
              <w:r>
                <w:rPr>
                  <w:rFonts w:ascii="Calibri" w:hAnsi="Calibri"/>
                  <w:color w:val="2E6B3D"/>
                  <w:sz w:val="19"/>
                  <w:b/>
                  <w:u w:val="none"/>
                </w:rPr>
                <w:t>Module 4: Production sequence and authorisation</w:t>
              </w:r>
            </w:hyperlink>
            <w:r>
              <w:rPr>
                <w:rFonts w:ascii="Calibri" w:hAnsi="Calibri" w:eastAsia="Calibri"/>
                <w:color w:val="26342D"/>
                <w:sz w:val="19"/>
              </w:rPr>
              <w:t xml:space="preserve"> — Build a dependency-based production sequence with roles and hold points. Distinguish student planning decisions from teacher or authorised-person decisions; do not publish machine procedures.</w:t>
            </w:r>
          </w:p>
          <w:p>
            <w:pPr>
              <w:keepNext w:val="0"/>
              <w:keepLines/>
              <w:spacing w:before="0" w:after="20" w:line="240" w:lineRule="auto"/>
            </w:pPr>
            <w:hyperlink r:id="rId59">
              <w:r>
                <w:rPr>
                  <w:rFonts w:ascii="Calibri" w:hAnsi="Calibri"/>
                  <w:color w:val="2E6B3D"/>
                  <w:sz w:val="18"/>
                  <w:b/>
                  <w:u w:val="none"/>
                </w:rPr>
                <w:t>Build a production-control board</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60">
              <w:r>
                <w:rPr>
                  <w:rFonts w:ascii="Calibri" w:hAnsi="Calibri"/>
                  <w:color w:val="2E6B3D"/>
                  <w:sz w:val="18"/>
                  <w:b/>
                  <w:u w:val="none"/>
                </w:rPr>
                <w:t>Knowledge check</w:t>
              </w:r>
            </w:hyperlink>
            <w:r>
              <w:rPr>
                <w:rFonts w:ascii="Calibri" w:hAnsi="Calibri" w:eastAsia="Calibri"/>
                <w:color w:val="26342D"/>
                <w:sz w:val="18"/>
              </w:rPr>
              <w:t xml:space="preserve"> and </w:t>
            </w:r>
            <w:hyperlink r:id="rId61">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Outline production techniques and materials used by designers, producers and manufacturers</w:t>
            </w:r>
          </w:p>
          <w:p>
            <w:pPr>
              <w:keepNext w:val="0"/>
              <w:keepLines/>
              <w:spacing w:before="0" w:after="40" w:line="240" w:lineRule="auto"/>
            </w:pPr>
            <w:r>
              <w:rPr>
                <w:rFonts w:ascii="Calibri" w:hAnsi="Calibri" w:eastAsia="Calibri"/>
                <w:color w:val="26342D"/>
                <w:sz w:val="19"/>
              </w:rPr>
              <w:t>Demonstrate safe practices when selecting and using materials, technologies and processes</w:t>
            </w:r>
          </w:p>
          <w:p>
            <w:pPr>
              <w:keepNext w:val="0"/>
              <w:keepLines/>
              <w:spacing w:before="0" w:after="0" w:line="240" w:lineRule="auto"/>
            </w:pPr>
            <w:r>
              <w:rPr>
                <w:rFonts w:ascii="Calibri" w:hAnsi="Calibri" w:eastAsia="Calibri"/>
                <w:color w:val="26342D"/>
                <w:sz w:val="19"/>
              </w:rPr>
              <w:t>Document design processes when using materials and production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Production-control board, hold-point explanation, 10 MCQs and scaffolded sequence response.</w:t>
            </w:r>
          </w:p>
          <w:p>
            <w:pPr>
              <w:keepNext w:val="0"/>
              <w:keepLines/>
              <w:spacing w:before="0" w:after="40" w:line="240" w:lineRule="auto"/>
            </w:pPr>
            <w:hyperlink r:id="rId53">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TE4-PDP-01, TE4-PPM-01, TE4-SAF-01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W4-B</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Practical</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Edges, finishing and quality</w:t>
            </w:r>
          </w:p>
        </w:tc>
        <w:tc>
          <w:tcPr>
            <w:tcW w:type="dxa" w:w="4920"/>
            <w:tcMar>
              <w:top w:w="70" w:type="dxa"/>
              <w:start w:w="90" w:type="dxa"/>
              <w:bottom w:w="70" w:type="dxa"/>
              <w:end w:w="90" w:type="dxa"/>
            </w:tcMar>
            <w:vAlign w:val="center"/>
          </w:tcPr>
          <w:p>
            <w:pPr>
              <w:keepNext w:val="0"/>
              <w:keepLines/>
              <w:spacing w:before="0" w:after="40" w:line="240" w:lineRule="auto"/>
            </w:pPr>
            <w:hyperlink r:id="rId62">
              <w:r>
                <w:rPr>
                  <w:rFonts w:ascii="Calibri" w:hAnsi="Calibri"/>
                  <w:color w:val="2E6B3D"/>
                  <w:sz w:val="19"/>
                  <w:b/>
                  <w:u w:val="none"/>
                </w:rPr>
                <w:t>Module 4: Edges, finishing and quality</w:t>
              </w:r>
            </w:hyperlink>
            <w:r>
              <w:rPr>
                <w:rFonts w:ascii="Calibri" w:hAnsi="Calibri" w:eastAsia="Calibri"/>
                <w:color w:val="26342D"/>
                <w:sz w:val="19"/>
              </w:rPr>
              <w:t xml:space="preserve"> — Before any teacher-approved making, model neutral inspection language for edge and surface condition. During authorised practical work, students follow the demonstrated local method and record quality decisions; otherwise use the complete image-based pathway.</w:t>
            </w:r>
          </w:p>
          <w:p>
            <w:pPr>
              <w:keepNext w:val="0"/>
              <w:keepLines/>
              <w:spacing w:before="0" w:after="20" w:line="240" w:lineRule="auto"/>
            </w:pPr>
            <w:hyperlink r:id="rId63">
              <w:r>
                <w:rPr>
                  <w:rFonts w:ascii="Calibri" w:hAnsi="Calibri"/>
                  <w:color w:val="2E6B3D"/>
                  <w:sz w:val="18"/>
                  <w:b/>
                  <w:u w:val="none"/>
                </w:rPr>
                <w:t>Turn opinions into quality evidence</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64">
              <w:r>
                <w:rPr>
                  <w:rFonts w:ascii="Calibri" w:hAnsi="Calibri"/>
                  <w:color w:val="2E6B3D"/>
                  <w:sz w:val="18"/>
                  <w:b/>
                  <w:u w:val="none"/>
                </w:rPr>
                <w:t>Knowledge check</w:t>
              </w:r>
            </w:hyperlink>
            <w:r>
              <w:rPr>
                <w:rFonts w:ascii="Calibri" w:hAnsi="Calibri" w:eastAsia="Calibri"/>
                <w:color w:val="26342D"/>
                <w:sz w:val="18"/>
              </w:rPr>
              <w:t xml:space="preserve"> and </w:t>
            </w:r>
            <w:hyperlink r:id="rId65">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Describe how the properties of materials and production techniques contribute to the quality of solutions</w:t>
            </w:r>
          </w:p>
          <w:p>
            <w:pPr>
              <w:keepNext w:val="0"/>
              <w:keepLines/>
              <w:spacing w:before="0" w:after="40" w:line="240" w:lineRule="auto"/>
            </w:pPr>
            <w:r>
              <w:rPr>
                <w:rFonts w:ascii="Calibri" w:hAnsi="Calibri" w:eastAsia="Calibri"/>
                <w:color w:val="26342D"/>
                <w:sz w:val="19"/>
              </w:rPr>
              <w:t>Demonstrate safe practices when selecting and using materials, technologies and processes</w:t>
            </w:r>
          </w:p>
          <w:p>
            <w:pPr>
              <w:keepNext w:val="0"/>
              <w:keepLines/>
              <w:spacing w:before="0" w:after="0" w:line="240" w:lineRule="auto"/>
            </w:pPr>
            <w:r>
              <w:rPr>
                <w:rFonts w:ascii="Calibri" w:hAnsi="Calibri" w:eastAsia="Calibri"/>
                <w:color w:val="26342D"/>
                <w:sz w:val="19"/>
              </w:rPr>
              <w:t>Use factors affecting design to evaluate the quality of ideas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Inspection notes, teacher checkpoint, permitted process evidence, 10 MCQs and scaffolded quality judgement.</w:t>
            </w:r>
          </w:p>
          <w:p>
            <w:pPr>
              <w:keepNext w:val="0"/>
              <w:keepLines/>
              <w:spacing w:before="0" w:after="40" w:line="240" w:lineRule="auto"/>
            </w:pPr>
            <w:hyperlink r:id="rId66">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TE4-PDP-01, TE4-SAF-01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W4-C</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Nesting, offcuts and process evidence</w:t>
            </w:r>
          </w:p>
        </w:tc>
        <w:tc>
          <w:tcPr>
            <w:tcW w:type="dxa" w:w="4920"/>
            <w:tcMar>
              <w:top w:w="70" w:type="dxa"/>
              <w:start w:w="90" w:type="dxa"/>
              <w:bottom w:w="70" w:type="dxa"/>
              <w:end w:w="90" w:type="dxa"/>
            </w:tcMar>
            <w:vAlign w:val="center"/>
          </w:tcPr>
          <w:p>
            <w:pPr>
              <w:keepNext w:val="0"/>
              <w:keepLines/>
              <w:spacing w:before="0" w:after="40" w:line="240" w:lineRule="auto"/>
            </w:pPr>
            <w:hyperlink r:id="rId67">
              <w:r>
                <w:rPr>
                  <w:rFonts w:ascii="Calibri" w:hAnsi="Calibri"/>
                  <w:color w:val="2E6B3D"/>
                  <w:sz w:val="19"/>
                  <w:b/>
                  <w:u w:val="none"/>
                </w:rPr>
                <w:t>Module 4: Nesting, offcuts and process evidence</w:t>
              </w:r>
            </w:hyperlink>
            <w:r>
              <w:rPr>
                <w:rFonts w:ascii="Calibri" w:hAnsi="Calibri" w:eastAsia="Calibri"/>
                <w:color w:val="26342D"/>
                <w:sz w:val="19"/>
              </w:rPr>
              <w:t xml:space="preserve"> — Compare planned and actual layout evidence, classify useful offcuts through the local system, and select privacy-safe process evidence that explains decisions rather than decorating the folio.</w:t>
            </w:r>
          </w:p>
          <w:p>
            <w:pPr>
              <w:keepNext w:val="0"/>
              <w:keepLines/>
              <w:spacing w:before="0" w:after="20" w:line="240" w:lineRule="auto"/>
            </w:pPr>
            <w:hyperlink r:id="rId68">
              <w:r>
                <w:rPr>
                  <w:rFonts w:ascii="Calibri" w:hAnsi="Calibri"/>
                  <w:color w:val="2E6B3D"/>
                  <w:sz w:val="18"/>
                  <w:b/>
                  <w:u w:val="none"/>
                </w:rPr>
                <w:t>Edit a process-evidence story</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69">
              <w:r>
                <w:rPr>
                  <w:rFonts w:ascii="Calibri" w:hAnsi="Calibri"/>
                  <w:color w:val="2E6B3D"/>
                  <w:sz w:val="18"/>
                  <w:b/>
                  <w:u w:val="none"/>
                </w:rPr>
                <w:t>Knowledge check</w:t>
              </w:r>
            </w:hyperlink>
            <w:r>
              <w:rPr>
                <w:rFonts w:ascii="Calibri" w:hAnsi="Calibri" w:eastAsia="Calibri"/>
                <w:color w:val="26342D"/>
                <w:sz w:val="18"/>
              </w:rPr>
              <w:t xml:space="preserve"> and </w:t>
            </w:r>
            <w:hyperlink r:id="rId70">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Compare sustainable sourcing practices</w:t>
            </w:r>
          </w:p>
          <w:p>
            <w:pPr>
              <w:keepNext w:val="0"/>
              <w:keepLines/>
              <w:spacing w:before="0" w:after="40" w:line="240" w:lineRule="auto"/>
            </w:pPr>
            <w:r>
              <w:rPr>
                <w:rFonts w:ascii="Calibri" w:hAnsi="Calibri" w:eastAsia="Calibri"/>
                <w:color w:val="26342D"/>
                <w:sz w:val="19"/>
              </w:rPr>
              <w:t>Document design processes when using materials and production technologies</w:t>
            </w:r>
          </w:p>
          <w:p>
            <w:pPr>
              <w:keepNext w:val="0"/>
              <w:keepLines/>
              <w:spacing w:before="0" w:after="0" w:line="240" w:lineRule="auto"/>
            </w:pPr>
            <w:r>
              <w:rPr>
                <w:rFonts w:ascii="Calibri" w:hAnsi="Calibri" w:eastAsia="Calibri"/>
                <w:color w:val="26342D"/>
                <w:sz w:val="19"/>
              </w:rPr>
              <w:t>Use factors affecting design to evaluate the quality of ideas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Five-item evidence story, captions, future layout test, 10 MCQs and scaffolded reflection.</w:t>
            </w:r>
          </w:p>
          <w:p>
            <w:pPr>
              <w:keepNext w:val="0"/>
              <w:keepLines/>
              <w:spacing w:before="0" w:after="40" w:line="240" w:lineRule="auto"/>
            </w:pPr>
            <w:hyperlink r:id="rId71">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TE4-SDP-01, TE4-PPM-01</w:t>
            </w:r>
          </w:p>
        </w:tc>
      </w:tr>
    </w:tbl>
    <w:p>
      <w:r>
        <w:br w:type="page"/>
      </w:r>
    </w:p>
    <w:p>
      <w:pPr>
        <w:pStyle w:val="Kicker"/>
      </w:pPr>
      <w:r>
        <w:t>WEEK 5  ·  MODULE 5</w:t>
      </w:r>
    </w:p>
    <w:p>
      <w:pPr>
        <w:pStyle w:val="Heading1"/>
        <w:spacing w:before="0"/>
      </w:pPr>
      <w:r>
        <w:t>Teaching and learning sequence</w:t>
      </w:r>
    </w:p>
    <w:p>
      <w:pPr>
        <w:keepNext w:val="0"/>
        <w:keepLines w:val="0"/>
        <w:spacing w:before="0" w:after="100" w:line="240" w:lineRule="auto"/>
      </w:pPr>
      <w:r>
        <w:rPr>
          <w:rFonts w:ascii="Calibri" w:hAnsi="Calibri" w:eastAsia="Calibri"/>
          <w:i/>
          <w:color w:val="5F6B64"/>
          <w:sz w:val="19"/>
        </w:rPr>
        <w:t>Three flexible blocks connect finish systems, controlled use testing and evaluation. Use the complete model or image pathway whenever practical approval is absent.</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600"/>
        <w:gridCol w:w="1260"/>
        <w:gridCol w:w="2100"/>
        <w:gridCol w:w="4920"/>
        <w:gridCol w:w="3180"/>
        <w:gridCol w:w="3180"/>
      </w:tblGrid>
      <w:tr>
        <w:trPr>
          <w:tblHeader w:val="true"/>
          <w:cantSplit/>
        </w:trPr>
        <w:tc>
          <w:tcPr>
            <w:tcW w:type="dxa" w:w="600"/>
            <w:shd w:fill="2E6B3D" w:val="clear"/>
            <w:tcMar>
              <w:top w:w="45" w:type="dxa"/>
              <w:start w:w="20" w:type="dxa"/>
              <w:bottom w:w="45" w:type="dxa"/>
              <w:end w:w="20" w:type="dxa"/>
            </w:tcMar>
            <w:vAlign w:val="center"/>
          </w:tcPr>
          <w:p>
            <w:pPr>
              <w:keepNext w:val="0"/>
              <w:keepLines w:val="0"/>
              <w:spacing w:before="0" w:after="0" w:line="240" w:lineRule="auto"/>
              <w:jc w:val="center"/>
            </w:pPr>
            <w:r>
              <w:rPr>
                <w:rFonts w:ascii="Calibri" w:hAnsi="Calibri" w:eastAsia="Calibri"/>
                <w:b/>
                <w:color w:val="FFFFFF"/>
                <w:sz w:val="19"/>
              </w:rPr>
              <w:t>P</w:t>
            </w:r>
          </w:p>
        </w:tc>
        <w:tc>
          <w:tcPr>
            <w:tcW w:type="dxa" w:w="1260"/>
            <w:shd w:fill="2E6B3D" w:val="clear"/>
            <w:tcMar>
              <w:top w:w="70" w:type="dxa"/>
              <w:start w:w="90" w:type="dxa"/>
              <w:bottom w:w="70" w:type="dxa"/>
              <w:end w:w="90" w:type="dxa"/>
            </w:tcMar>
            <w:vAlign w:val="center"/>
          </w:tcPr>
          <w:p>
            <w:pPr>
              <w:keepNext w:val="0"/>
              <w:keepLines w:val="0"/>
              <w:spacing w:before="0" w:after="0" w:line="240" w:lineRule="auto"/>
              <w:jc w:val="center"/>
            </w:pPr>
            <w:r>
              <w:rPr>
                <w:rFonts w:ascii="Calibri" w:hAnsi="Calibri" w:eastAsia="Calibri"/>
                <w:b/>
                <w:color w:val="FFFFFF"/>
                <w:sz w:val="19"/>
              </w:rPr>
              <w:t>Type</w:t>
            </w:r>
          </w:p>
        </w:tc>
        <w:tc>
          <w:tcPr>
            <w:tcW w:type="dxa" w:w="210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Focus</w:t>
            </w:r>
          </w:p>
        </w:tc>
        <w:tc>
          <w:tcPr>
            <w:tcW w:type="dxa" w:w="492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Teaching and learning</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Syllabus content</w:t>
            </w:r>
          </w:p>
        </w:tc>
        <w:tc>
          <w:tcPr>
            <w:tcW w:type="dxa" w:w="3180"/>
            <w:shd w:fill="2E6B3D" w:val="clear"/>
            <w:tcMar>
              <w:top w:w="70" w:type="dxa"/>
              <w:start w:w="90" w:type="dxa"/>
              <w:bottom w:w="70" w:type="dxa"/>
              <w:end w:w="90" w:type="dxa"/>
            </w:tcMar>
            <w:vAlign w:val="center"/>
          </w:tcPr>
          <w:p>
            <w:pPr>
              <w:keepNext w:val="0"/>
              <w:keepLines w:val="0"/>
              <w:spacing w:before="0" w:after="0" w:line="240" w:lineRule="auto"/>
              <w:jc w:val="left"/>
            </w:pPr>
            <w:r>
              <w:rPr>
                <w:rFonts w:ascii="Calibri" w:hAnsi="Calibri" w:eastAsia="Calibri"/>
                <w:b/>
                <w:color w:val="FFFFFF"/>
                <w:sz w:val="19"/>
              </w:rPr>
              <w:t>Evidence / outcomes</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W5-A</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Practical</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Surface preparation and coatings</w:t>
            </w:r>
          </w:p>
        </w:tc>
        <w:tc>
          <w:tcPr>
            <w:tcW w:type="dxa" w:w="4920"/>
            <w:tcMar>
              <w:top w:w="70" w:type="dxa"/>
              <w:start w:w="90" w:type="dxa"/>
              <w:bottom w:w="70" w:type="dxa"/>
              <w:end w:w="90" w:type="dxa"/>
            </w:tcMar>
            <w:vAlign w:val="center"/>
          </w:tcPr>
          <w:p>
            <w:pPr>
              <w:keepNext w:val="0"/>
              <w:keepLines/>
              <w:spacing w:before="0" w:after="40" w:line="240" w:lineRule="auto"/>
            </w:pPr>
            <w:hyperlink r:id="rId72">
              <w:r>
                <w:rPr>
                  <w:rFonts w:ascii="Calibri" w:hAnsi="Calibri"/>
                  <w:color w:val="2E6B3D"/>
                  <w:sz w:val="19"/>
                  <w:b/>
                  <w:u w:val="none"/>
                </w:rPr>
                <w:t>Module 5: Surface preparation and coatings</w:t>
              </w:r>
            </w:hyperlink>
            <w:r>
              <w:rPr>
                <w:rFonts w:ascii="Calibri" w:hAnsi="Calibri" w:eastAsia="Calibri"/>
                <w:color w:val="26342D"/>
                <w:sz w:val="19"/>
              </w:rPr>
              <w:t xml:space="preserve"> — Explain the functions and compatibility of substrate, preparation, primer, topcoat and intended environment. Any preparation or coating occurs only with teacher-approved products, SDS, controls and demonstration; otherwise use the fictional finish-system audit.</w:t>
            </w:r>
          </w:p>
          <w:p>
            <w:pPr>
              <w:keepNext w:val="0"/>
              <w:keepLines/>
              <w:spacing w:before="0" w:after="20" w:line="240" w:lineRule="auto"/>
            </w:pPr>
            <w:hyperlink r:id="rId73">
              <w:r>
                <w:rPr>
                  <w:rFonts w:ascii="Calibri" w:hAnsi="Calibri"/>
                  <w:color w:val="2E6B3D"/>
                  <w:sz w:val="18"/>
                  <w:b/>
                  <w:u w:val="none"/>
                </w:rPr>
                <w:t>Audit a fictional finish system</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74">
              <w:r>
                <w:rPr>
                  <w:rFonts w:ascii="Calibri" w:hAnsi="Calibri"/>
                  <w:color w:val="2E6B3D"/>
                  <w:sz w:val="18"/>
                  <w:b/>
                  <w:u w:val="none"/>
                </w:rPr>
                <w:t>Knowledge check</w:t>
              </w:r>
            </w:hyperlink>
            <w:r>
              <w:rPr>
                <w:rFonts w:ascii="Calibri" w:hAnsi="Calibri" w:eastAsia="Calibri"/>
                <w:color w:val="26342D"/>
                <w:sz w:val="18"/>
              </w:rPr>
              <w:t xml:space="preserve"> and </w:t>
            </w:r>
            <w:hyperlink r:id="rId75">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Identify the characteristics and properties of materials</w:t>
            </w:r>
          </w:p>
          <w:p>
            <w:pPr>
              <w:keepNext w:val="0"/>
              <w:keepLines/>
              <w:spacing w:before="0" w:after="40" w:line="240" w:lineRule="auto"/>
            </w:pPr>
            <w:r>
              <w:rPr>
                <w:rFonts w:ascii="Calibri" w:hAnsi="Calibri" w:eastAsia="Calibri"/>
                <w:color w:val="26342D"/>
                <w:sz w:val="19"/>
              </w:rPr>
              <w:t>Describe how the properties of materials and production techniques contribute to the quality of solutions</w:t>
            </w:r>
          </w:p>
          <w:p>
            <w:pPr>
              <w:keepNext w:val="0"/>
              <w:keepLines/>
              <w:spacing w:before="0" w:after="0" w:line="240" w:lineRule="auto"/>
            </w:pPr>
            <w:r>
              <w:rPr>
                <w:rFonts w:ascii="Calibri" w:hAnsi="Calibri" w:eastAsia="Calibri"/>
                <w:color w:val="26342D"/>
                <w:sz w:val="19"/>
              </w:rPr>
              <w:t>Justify the selection and use of a range of tools, materials, techniques and technologies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Finish-system map, inspection statement, teacher checkpoint, 10 MCQs and scaffolded justification.</w:t>
            </w:r>
          </w:p>
          <w:p>
            <w:pPr>
              <w:keepNext w:val="0"/>
              <w:keepLines/>
              <w:spacing w:before="0" w:after="40" w:line="240" w:lineRule="auto"/>
            </w:pPr>
            <w:hyperlink r:id="rId76">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TE4-MSC-01, TE4-SAF-01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W5-B</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Practical</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Hanging, stability and use</w:t>
            </w:r>
          </w:p>
        </w:tc>
        <w:tc>
          <w:tcPr>
            <w:tcW w:type="dxa" w:w="4920"/>
            <w:tcMar>
              <w:top w:w="70" w:type="dxa"/>
              <w:start w:w="90" w:type="dxa"/>
              <w:bottom w:w="70" w:type="dxa"/>
              <w:end w:w="90" w:type="dxa"/>
            </w:tcMar>
            <w:vAlign w:val="center"/>
          </w:tcPr>
          <w:p>
            <w:pPr>
              <w:keepNext w:val="0"/>
              <w:keepLines/>
              <w:spacing w:before="0" w:after="40" w:line="240" w:lineRule="auto"/>
            </w:pPr>
            <w:hyperlink r:id="rId77">
              <w:r>
                <w:rPr>
                  <w:rFonts w:ascii="Calibri" w:hAnsi="Calibri"/>
                  <w:color w:val="2E6B3D"/>
                  <w:sz w:val="19"/>
                  <w:b/>
                  <w:u w:val="none"/>
                </w:rPr>
                <w:t>Module 5: Hanging, stability and use</w:t>
              </w:r>
            </w:hyperlink>
            <w:r>
              <w:rPr>
                <w:rFonts w:ascii="Calibri" w:hAnsi="Calibri" w:eastAsia="Calibri"/>
                <w:color w:val="26342D"/>
                <w:sz w:val="19"/>
              </w:rPr>
              <w:t xml:space="preserve"> — Use a teacher-provided model to trace conceptual load paths, balance and stability. Actual hanging, loading, installation or use testing requires an approved criterion and teacher control; LED tea-light language remains the default.</w:t>
            </w:r>
          </w:p>
          <w:p>
            <w:pPr>
              <w:keepNext w:val="0"/>
              <w:keepLines/>
              <w:spacing w:before="0" w:after="20" w:line="240" w:lineRule="auto"/>
            </w:pPr>
            <w:hyperlink r:id="rId78">
              <w:r>
                <w:rPr>
                  <w:rFonts w:ascii="Calibri" w:hAnsi="Calibri"/>
                  <w:color w:val="2E6B3D"/>
                  <w:sz w:val="18"/>
                  <w:b/>
                  <w:u w:val="none"/>
                </w:rPr>
                <w:t>Reason with a cardboard balance model</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79">
              <w:r>
                <w:rPr>
                  <w:rFonts w:ascii="Calibri" w:hAnsi="Calibri"/>
                  <w:color w:val="2E6B3D"/>
                  <w:sz w:val="18"/>
                  <w:b/>
                  <w:u w:val="none"/>
                </w:rPr>
                <w:t>Knowledge check</w:t>
              </w:r>
            </w:hyperlink>
            <w:r>
              <w:rPr>
                <w:rFonts w:ascii="Calibri" w:hAnsi="Calibri" w:eastAsia="Calibri"/>
                <w:color w:val="26342D"/>
                <w:sz w:val="18"/>
              </w:rPr>
              <w:t xml:space="preserve"> and </w:t>
            </w:r>
            <w:hyperlink r:id="rId80">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Describe products and systems created by designers, producers and manufacturers</w:t>
            </w:r>
          </w:p>
          <w:p>
            <w:pPr>
              <w:keepNext w:val="0"/>
              <w:keepLines/>
              <w:spacing w:before="0" w:after="40" w:line="240" w:lineRule="auto"/>
            </w:pPr>
            <w:r>
              <w:rPr>
                <w:rFonts w:ascii="Calibri" w:hAnsi="Calibri" w:eastAsia="Calibri"/>
                <w:color w:val="26342D"/>
                <w:sz w:val="19"/>
              </w:rPr>
              <w:t>Create prototypes, models and samples to test materials and production processes</w:t>
            </w:r>
          </w:p>
          <w:p>
            <w:pPr>
              <w:keepNext w:val="0"/>
              <w:keepLines/>
              <w:spacing w:before="0" w:after="0" w:line="240" w:lineRule="auto"/>
            </w:pPr>
            <w:r>
              <w:rPr>
                <w:rFonts w:ascii="Calibri" w:hAnsi="Calibri" w:eastAsia="Calibri"/>
                <w:color w:val="26342D"/>
                <w:sz w:val="19"/>
              </w:rPr>
              <w:t>Use factors affecting design to evaluate the quality of ideas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Annotated model, prediction, approved test evidence where authorised, 10 MCQs and scaffolded systems response.</w:t>
            </w:r>
          </w:p>
          <w:p>
            <w:pPr>
              <w:keepNext w:val="0"/>
              <w:keepLines/>
              <w:spacing w:before="0" w:after="40" w:line="240" w:lineRule="auto"/>
            </w:pPr>
            <w:hyperlink r:id="rId76">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TE4-MSC-01, TE4-DES-01, TE4-SAF-01</w:t>
            </w:r>
          </w:p>
        </w:tc>
      </w:tr>
      <w:tr>
        <w:trPr>
          <w:cantSplit/>
        </w:trPr>
        <w:tc>
          <w:tcPr>
            <w:tcW w:type="dxa" w:w="600"/>
            <w:shd w:fill="EBF5ED" w:val="clear"/>
            <w:tcMar>
              <w:top w:w="45" w:type="dxa"/>
              <w:start w:w="20" w:type="dxa"/>
              <w:bottom w:w="45" w:type="dxa"/>
              <w:end w:w="20" w:type="dxa"/>
            </w:tcMar>
            <w:vAlign w:val="center"/>
          </w:tcPr>
          <w:p>
            <w:pPr>
              <w:keepNext w:val="0"/>
              <w:keepLines/>
              <w:spacing w:before="0" w:after="0" w:line="240" w:lineRule="auto"/>
              <w:jc w:val="center"/>
            </w:pPr>
            <w:r>
              <w:rPr>
                <w:rFonts w:ascii="Calibri" w:hAnsi="Calibri" w:eastAsia="Calibri"/>
                <w:b/>
                <w:i w:val="0"/>
                <w:color w:val="17482C"/>
                <w:sz w:val="19"/>
              </w:rPr>
              <w:t>W5-C</w:t>
            </w:r>
          </w:p>
          <w:p>
            <w:pPr>
              <w:keepNext w:val="0"/>
              <w:keepLines w:val="0"/>
              <w:spacing w:before="0" w:after="0" w:line="240" w:lineRule="auto"/>
              <w:jc w:val="center"/>
            </w:pPr>
            <w:r>
              <w:rPr>
                <w:rFonts w:ascii="Calibri" w:hAnsi="Calibri" w:eastAsia="Calibri"/>
                <w:i/>
                <w:color w:val="5F6B64"/>
                <w:sz w:val="14"/>
              </w:rPr>
              <w:t>flexible</w:t>
              <w:br/>
              <w:t>learning</w:t>
              <w:br/>
              <w:t>block</w:t>
            </w:r>
          </w:p>
        </w:tc>
        <w:tc>
          <w:tcPr>
            <w:tcW w:type="dxa" w:w="1260"/>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9"/>
              </w:rPr>
              <w:t>Project/folio</w:t>
            </w:r>
          </w:p>
        </w:tc>
        <w:tc>
          <w:tcPr>
            <w:tcW w:type="dxa" w:w="21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i w:val="0"/>
                <w:color w:val="17482C"/>
                <w:sz w:val="19"/>
              </w:rPr>
              <w:t>Evaluate, feedback and improve</w:t>
            </w:r>
          </w:p>
        </w:tc>
        <w:tc>
          <w:tcPr>
            <w:tcW w:type="dxa" w:w="4920"/>
            <w:tcMar>
              <w:top w:w="70" w:type="dxa"/>
              <w:start w:w="90" w:type="dxa"/>
              <w:bottom w:w="70" w:type="dxa"/>
              <w:end w:w="90" w:type="dxa"/>
            </w:tcMar>
            <w:vAlign w:val="center"/>
          </w:tcPr>
          <w:p>
            <w:pPr>
              <w:keepNext w:val="0"/>
              <w:keepLines/>
              <w:spacing w:before="0" w:after="40" w:line="240" w:lineRule="auto"/>
            </w:pPr>
            <w:hyperlink r:id="rId81">
              <w:r>
                <w:rPr>
                  <w:rFonts w:ascii="Calibri" w:hAnsi="Calibri"/>
                  <w:color w:val="2E6B3D"/>
                  <w:sz w:val="19"/>
                  <w:b/>
                  <w:u w:val="none"/>
                </w:rPr>
                <w:t>Module 5: Evaluate, feedback and improve</w:t>
              </w:r>
            </w:hyperlink>
            <w:r>
              <w:rPr>
                <w:rFonts w:ascii="Calibri" w:hAnsi="Calibri" w:eastAsia="Calibri"/>
                <w:color w:val="26342D"/>
                <w:sz w:val="19"/>
              </w:rPr>
              <w:t xml:space="preserve"> — Evaluate the product or teacher-provided case against confirmed criteria. Distinguish description, evidence and judgement; triage peer feedback and justify one feasible, testable future improvement.</w:t>
            </w:r>
          </w:p>
          <w:p>
            <w:pPr>
              <w:keepNext w:val="0"/>
              <w:keepLines/>
              <w:spacing w:before="0" w:after="20" w:line="240" w:lineRule="auto"/>
            </w:pPr>
            <w:hyperlink r:id="rId82">
              <w:r>
                <w:rPr>
                  <w:rFonts w:ascii="Calibri" w:hAnsi="Calibri"/>
                  <w:color w:val="2E6B3D"/>
                  <w:sz w:val="18"/>
                  <w:b/>
                  <w:u w:val="none"/>
                </w:rPr>
                <w:t>Feedback triage and improvement pitch</w:t>
              </w:r>
            </w:hyperlink>
            <w:r>
              <w:rPr>
                <w:rFonts w:ascii="Calibri" w:hAnsi="Calibri" w:eastAsia="Calibri"/>
                <w:color w:val="26342D"/>
                <w:sz w:val="18"/>
              </w:rPr>
              <w:t xml:space="preserve"> — complete the concept-linked applied activity.</w:t>
            </w:r>
          </w:p>
          <w:p>
            <w:pPr>
              <w:keepNext w:val="0"/>
              <w:keepLines/>
              <w:spacing w:before="0" w:after="0" w:line="240" w:lineRule="auto"/>
            </w:pPr>
            <w:hyperlink r:id="rId83">
              <w:r>
                <w:rPr>
                  <w:rFonts w:ascii="Calibri" w:hAnsi="Calibri"/>
                  <w:color w:val="2E6B3D"/>
                  <w:sz w:val="18"/>
                  <w:b/>
                  <w:u w:val="none"/>
                </w:rPr>
                <w:t>Knowledge check</w:t>
              </w:r>
            </w:hyperlink>
            <w:r>
              <w:rPr>
                <w:rFonts w:ascii="Calibri" w:hAnsi="Calibri" w:eastAsia="Calibri"/>
                <w:color w:val="26342D"/>
                <w:sz w:val="18"/>
              </w:rPr>
              <w:t xml:space="preserve"> and </w:t>
            </w:r>
            <w:hyperlink r:id="rId84">
              <w:r>
                <w:rPr>
                  <w:rFonts w:ascii="Calibri" w:hAnsi="Calibri"/>
                  <w:color w:val="2E6B3D"/>
                  <w:sz w:val="18"/>
                  <w:b/>
                  <w:u w:val="none"/>
                </w:rPr>
                <w:t>scaffolded response</w:t>
              </w:r>
            </w:hyperlink>
            <w:r>
              <w:rPr>
                <w:rFonts w:ascii="Calibri" w:hAnsi="Calibri" w:eastAsia="Calibri"/>
                <w:color w:val="26342D"/>
                <w:sz w:val="18"/>
              </w:rPr>
              <w:t>; save or export evidence as directed.</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Work collaboratively to test, modify and improve the quality of ideas and solutions</w:t>
            </w:r>
          </w:p>
          <w:p>
            <w:pPr>
              <w:keepNext w:val="0"/>
              <w:keepLines/>
              <w:spacing w:before="0" w:after="40" w:line="240" w:lineRule="auto"/>
            </w:pPr>
            <w:r>
              <w:rPr>
                <w:rFonts w:ascii="Calibri" w:hAnsi="Calibri" w:eastAsia="Calibri"/>
                <w:color w:val="26342D"/>
                <w:sz w:val="19"/>
              </w:rPr>
              <w:t>Evaluate ideas and solutions using written, visual, verbal or multimodal communication forms</w:t>
            </w:r>
          </w:p>
          <w:p>
            <w:pPr>
              <w:keepNext w:val="0"/>
              <w:keepLines/>
              <w:spacing w:before="0" w:after="0" w:line="240" w:lineRule="auto"/>
            </w:pPr>
            <w:r>
              <w:rPr>
                <w:rFonts w:ascii="Calibri" w:hAnsi="Calibri" w:eastAsia="Calibri"/>
                <w:color w:val="26342D"/>
                <w:sz w:val="19"/>
              </w:rPr>
              <w:t>Use factors affecting design to evaluate the quality of ideas and solutions</w:t>
            </w:r>
          </w:p>
        </w:tc>
        <w:tc>
          <w:tcPr>
            <w:tcW w:type="dxa" w:w="3180"/>
            <w:tcMar>
              <w:top w:w="70" w:type="dxa"/>
              <w:start w:w="90" w:type="dxa"/>
              <w:bottom w:w="70" w:type="dxa"/>
              <w:end w:w="90" w:type="dxa"/>
            </w:tcMar>
            <w:vAlign w:val="center"/>
          </w:tcPr>
          <w:p>
            <w:pPr>
              <w:keepNext w:val="0"/>
              <w:keepLines/>
              <w:spacing w:before="0" w:after="40" w:line="240" w:lineRule="auto"/>
            </w:pPr>
            <w:r>
              <w:rPr>
                <w:rFonts w:ascii="Calibri" w:hAnsi="Calibri" w:eastAsia="Calibri"/>
                <w:color w:val="26342D"/>
                <w:sz w:val="19"/>
              </w:rPr>
              <w:t>Criteria-based evaluation, feedback triage, improvement pitch, 10 MCQs and scaffolded capstone response.</w:t>
            </w:r>
          </w:p>
          <w:p>
            <w:pPr>
              <w:keepNext w:val="0"/>
              <w:keepLines/>
              <w:spacing w:before="0" w:after="40" w:line="240" w:lineRule="auto"/>
            </w:pPr>
            <w:hyperlink r:id="rId85">
              <w:r>
                <w:rPr>
                  <w:rFonts w:ascii="Calibri" w:hAnsi="Calibri"/>
                  <w:color w:val="2E6B3D"/>
                  <w:sz w:val="18"/>
                  <w:b/>
                  <w:u w:val="none"/>
                </w:rPr>
                <w:t>My folio evidence</w:t>
              </w:r>
            </w:hyperlink>
          </w:p>
          <w:p>
            <w:pPr>
              <w:keepNext w:val="0"/>
              <w:keepLines/>
              <w:spacing w:before="0" w:after="0" w:line="240" w:lineRule="auto"/>
            </w:pPr>
            <w:r>
              <w:rPr>
                <w:rFonts w:ascii="Calibri" w:hAnsi="Calibri" w:eastAsia="Calibri"/>
                <w:b/>
                <w:color w:val="17482C"/>
                <w:sz w:val="18"/>
              </w:rPr>
              <w:t>Outcomes: TE4-SDP-01, TE4-DES-01, TE4-PPM-01</w:t>
            </w:r>
          </w:p>
        </w:tc>
      </w:tr>
    </w:tbl>
    <w:p>
      <w:pPr>
        <w:pStyle w:val="Heading2"/>
        <w:spacing w:before="160"/>
      </w:pPr>
      <w:r>
        <w:t>Whole-course teaching controls · implementation</w:t>
      </w:r>
    </w:p>
    <w:p>
      <w:pPr>
        <w:keepNext w:val="0"/>
        <w:keepLines/>
        <w:spacing w:before="0" w:after="80" w:line="264" w:lineRule="auto"/>
      </w:pPr>
      <w:r>
        <w:rPr>
          <w:rFonts w:ascii="Calibri" w:hAnsi="Calibri" w:eastAsia="Calibri"/>
          <w:b/>
          <w:color w:val="17482C"/>
          <w:sz w:val="19"/>
        </w:rPr>
        <w:t xml:space="preserve">Safety, workplace and practical authority: </w:t>
      </w:r>
      <w:r>
        <w:rPr>
          <w:rFonts w:ascii="Calibri" w:hAnsi="Calibri" w:eastAsia="Calibri"/>
          <w:color w:val="26342D"/>
          <w:sz w:val="19"/>
        </w:rPr>
        <w:t>The website teaches readiness and decision-making, not operational procedures. Local plans, demonstrations, SDS, equipment instructions, supervision, PPE, controls and permissions remain teacher-controlled. W4-B, W5-A and W5-B are Practical only when the affected work is approved; otherwise teach the complete theory, visual, model or image-based equivalent.</w:t>
      </w:r>
    </w:p>
    <w:p>
      <w:pPr>
        <w:keepNext w:val="0"/>
        <w:keepLines/>
        <w:spacing w:before="0" w:after="80" w:line="264" w:lineRule="auto"/>
      </w:pPr>
      <w:r>
        <w:rPr>
          <w:rFonts w:ascii="Calibri" w:hAnsi="Calibri" w:eastAsia="Calibri"/>
          <w:b/>
          <w:color w:val="17482C"/>
          <w:sz w:val="19"/>
        </w:rPr>
        <w:t xml:space="preserve">Assessment and feedback boundary: </w:t>
      </w:r>
      <w:r>
        <w:rPr>
          <w:rFonts w:ascii="Calibri" w:hAnsi="Calibri" w:eastAsia="Calibri"/>
          <w:color w:val="26342D"/>
          <w:sz w:val="19"/>
        </w:rPr>
        <w:t>Knowledge checks, long responses, activities and folio entries are formative learning evidence. No approved notification, rubric, weighting, marks, due date or submission route was supplied. The teacher links the formal assessment material before representing any task as assessed.</w:t>
      </w:r>
    </w:p>
    <w:p>
      <w:pPr>
        <w:keepNext w:val="0"/>
        <w:keepLines/>
        <w:spacing w:before="0" w:after="80" w:line="264" w:lineRule="auto"/>
      </w:pPr>
      <w:r>
        <w:rPr>
          <w:rFonts w:ascii="Calibri" w:hAnsi="Calibri" w:eastAsia="Calibri"/>
          <w:b/>
          <w:color w:val="17482C"/>
          <w:sz w:val="19"/>
        </w:rPr>
        <w:t xml:space="preserve">Project-pathway differentiation: </w:t>
      </w:r>
      <w:r>
        <w:rPr>
          <w:rFonts w:ascii="Calibri" w:hAnsi="Calibri" w:eastAsia="Calibri"/>
          <w:color w:val="26342D"/>
          <w:sz w:val="19"/>
        </w:rPr>
        <w:t>Swinging Sign is the primary pathway. The LED tea-light holder and scrolled pot-plant holder are alternate or additional pathways only when the teacher confirms their role and plan. Use LED tea lights only unless a different policy is formally approved; loading and stability criteria for the pot-plant holder remain Teacher to confirm.</w:t>
      </w:r>
    </w:p>
    <w:p>
      <w:pPr>
        <w:keepNext w:val="0"/>
        <w:keepLines/>
        <w:spacing w:before="0" w:after="80" w:line="264" w:lineRule="auto"/>
      </w:pPr>
      <w:r>
        <w:rPr>
          <w:rFonts w:ascii="Calibri" w:hAnsi="Calibri" w:eastAsia="Calibri"/>
          <w:b/>
          <w:color w:val="17482C"/>
          <w:sz w:val="19"/>
        </w:rPr>
        <w:t xml:space="preserve">Source, privacy and release boundary: </w:t>
      </w:r>
      <w:r>
        <w:rPr>
          <w:rFonts w:ascii="Calibri" w:hAnsi="Calibri" w:eastAsia="Calibri"/>
          <w:color w:val="26342D"/>
          <w:sz w:val="19"/>
        </w:rPr>
        <w:t>A privacy-safe hero replaces the personalised Swinging Sign photograph. Supplied holder photographs are teacher-authorised for this course release only; ownership is not asserted and third-party reuse is not granted. Steve authorised GitHub Pages release on 31 August 2026; live verification follows deployment.</w:t>
      </w:r>
    </w:p>
    <w:p>
      <w:pPr>
        <w:pStyle w:val="Kicker"/>
      </w:pPr>
      <w:r>
        <w:t>CONTROL REGISTER</w:t>
      </w:r>
    </w:p>
    <w:p>
      <w:pPr>
        <w:pStyle w:val="Heading1"/>
      </w:pPr>
      <w:r>
        <w:t>Teacher to confirm before use</w:t>
      </w:r>
    </w:p>
    <w:p>
      <w:pPr>
        <w:keepNext w:val="0"/>
        <w:keepLines w:val="0"/>
        <w:spacing w:before="0" w:after="100" w:line="252" w:lineRule="auto"/>
      </w:pPr>
      <w:r>
        <w:rPr>
          <w:rFonts w:ascii="Calibri" w:hAnsi="Calibri" w:eastAsia="Calibri"/>
          <w:color w:val="5F6B64"/>
          <w:sz w:val="19"/>
        </w:rPr>
        <w:t>These are bounded local decisions, not missing student theory. Confirm only the affected field and keep all other teaching moving.</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800"/>
        <w:gridCol w:w="6200"/>
        <w:gridCol w:w="3000"/>
        <w:gridCol w:w="5240"/>
      </w:tblGrid>
      <w:tr>
        <w:trPr>
          <w:tblHeader w:val="true"/>
          <w:cantSplit/>
        </w:trPr>
        <w:tc>
          <w:tcPr>
            <w:tcW w:type="dxa" w:w="800"/>
            <w:shd w:fill="2E6B3D" w:val="clear"/>
            <w:tcMar>
              <w:top w:w="70" w:type="dxa"/>
              <w:start w:w="90" w:type="dxa"/>
              <w:bottom w:w="70" w:type="dxa"/>
              <w:end w:w="90" w:type="dxa"/>
            </w:tcMar>
            <w:vAlign w:val="center"/>
          </w:tcPr>
          <w:p>
            <w:pPr>
              <w:keepNext w:val="0"/>
              <w:keepLines w:val="0"/>
              <w:spacing w:before="0" w:after="0" w:line="240" w:lineRule="auto"/>
            </w:pPr>
            <w:r>
              <w:rPr>
                <w:rFonts w:ascii="Calibri" w:hAnsi="Calibri" w:eastAsia="Calibri"/>
                <w:b/>
                <w:color w:val="FFFFFF"/>
                <w:sz w:val="19"/>
              </w:rPr>
              <w:t>ID</w:t>
            </w:r>
          </w:p>
        </w:tc>
        <w:tc>
          <w:tcPr>
            <w:tcW w:type="dxa" w:w="6200"/>
            <w:shd w:fill="2E6B3D" w:val="clear"/>
            <w:tcMar>
              <w:top w:w="70" w:type="dxa"/>
              <w:start w:w="90" w:type="dxa"/>
              <w:bottom w:w="70" w:type="dxa"/>
              <w:end w:w="90" w:type="dxa"/>
            </w:tcMar>
            <w:vAlign w:val="center"/>
          </w:tcPr>
          <w:p>
            <w:pPr>
              <w:keepNext w:val="0"/>
              <w:keepLines w:val="0"/>
              <w:spacing w:before="0" w:after="0" w:line="240" w:lineRule="auto"/>
            </w:pPr>
            <w:r>
              <w:rPr>
                <w:rFonts w:ascii="Calibri" w:hAnsi="Calibri" w:eastAsia="Calibri"/>
                <w:b/>
                <w:color w:val="FFFFFF"/>
                <w:sz w:val="19"/>
              </w:rPr>
              <w:t>Decision or evidence needed</w:t>
            </w:r>
          </w:p>
        </w:tc>
        <w:tc>
          <w:tcPr>
            <w:tcW w:type="dxa" w:w="3000"/>
            <w:shd w:fill="2E6B3D" w:val="clear"/>
            <w:tcMar>
              <w:top w:w="70" w:type="dxa"/>
              <w:start w:w="90" w:type="dxa"/>
              <w:bottom w:w="70" w:type="dxa"/>
              <w:end w:w="90" w:type="dxa"/>
            </w:tcMar>
            <w:vAlign w:val="center"/>
          </w:tcPr>
          <w:p>
            <w:pPr>
              <w:keepNext w:val="0"/>
              <w:keepLines w:val="0"/>
              <w:spacing w:before="0" w:after="0" w:line="240" w:lineRule="auto"/>
            </w:pPr>
            <w:r>
              <w:rPr>
                <w:rFonts w:ascii="Calibri" w:hAnsi="Calibri" w:eastAsia="Calibri"/>
                <w:b/>
                <w:color w:val="FFFFFF"/>
                <w:sz w:val="19"/>
              </w:rPr>
              <w:t>Owner / affected scope</w:t>
            </w:r>
          </w:p>
        </w:tc>
        <w:tc>
          <w:tcPr>
            <w:tcW w:type="dxa" w:w="5240"/>
            <w:shd w:fill="2E6B3D" w:val="clear"/>
            <w:tcMar>
              <w:top w:w="70" w:type="dxa"/>
              <w:start w:w="90" w:type="dxa"/>
              <w:bottom w:w="70" w:type="dxa"/>
              <w:end w:w="90" w:type="dxa"/>
            </w:tcMar>
            <w:vAlign w:val="center"/>
          </w:tcPr>
          <w:p>
            <w:pPr>
              <w:keepNext w:val="0"/>
              <w:keepLines w:val="0"/>
              <w:spacing w:before="0" w:after="0" w:line="240" w:lineRule="auto"/>
            </w:pPr>
            <w:r>
              <w:rPr>
                <w:rFonts w:ascii="Calibri" w:hAnsi="Calibri" w:eastAsia="Calibri"/>
                <w:b/>
                <w:color w:val="FFFFFF"/>
                <w:sz w:val="19"/>
              </w:rPr>
              <w:t>Due before / smallest action</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TTC-01</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Whole-number lesson count and local rotation or timetable placement for the source wording: 5 weeks (5 x 60-minute lessons per fortnight).</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All flexible learning blocks</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Timetabling and class issue</w:t>
              <w:br/>
              <w:t>Record the approved period allocation and how the 15 learning packages will be combined or distributed.</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TTC-02</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Whether the LED tea-light holder and scrolled pot-plant holder are alternatives, extensions or separately assessed projects.</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Project pathway selection</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Students select or receive a pathway</w:t>
              <w:br/>
              <w:t>Confirm the role of each additional project and communicate it to students.</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TTC-03</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Approved plans and the relationship between the photographed Swinging Sign and the Drive CNC metal-sign brief.</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Project planning and practical work</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Any production approval</w:t>
              <w:br/>
              <w:t>Issue the current approved plan or job sheet for each in-use pathway.</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TTC-04</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Approved materials, stock form, sizes, quantities, tolerances and any loading criteria.</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Modules 3-5 and every practical block</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Material selection or layout becomes a production document</w:t>
              <w:br/>
              <w:t>Attach the current material and stock specification to the approval pack.</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TTC-05</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Tools, machines, student/teacher operating roles, demonstrations, supervision, local risk controls and evidence permissions.</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Every practical block</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Each affected practical session</w:t>
              <w:br/>
              <w:t>Confirm the current local procedure and explicit authorisation checkpoint.</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TTC-06</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Swinging Sign mounting system, wind/load context, installation boundary and controlled test criteria.</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W3-C and W5-B</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Mounting approval or any use test</w:t>
              <w:br/>
              <w:t>Issue the approved mounting and testing criteria; otherwise retain model-only learning.</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TTC-07</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Tea-light policy and approved holder design. The current course uses LED tea lights only unless a different policy is formally confirmed.</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LED tea-light pathway</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Pathway approval and any function check</w:t>
              <w:br/>
              <w:t>Confirm the LED-only rule or provide the authorised alternative policy and plan.</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TTC-08</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Pot-plant holder loading, pot size, stability, support and approved testing criteria.</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Pot-plant holder pathway</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Design approval or any loading test</w:t>
              <w:br/>
              <w:t>Record the approved design load and controlled test method; otherwise retain model-only learning.</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TTC-09</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Formal assessment notification, outcomes, rubric, marks or weighting, due date, submission route and evidence requirements.</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Faculty / assessment coordinator</w:t>
              <w:br/>
              <w:t>Assessment and formal submission</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Any formal assessment advice is issued</w:t>
              <w:br/>
              <w:t>Link the approved notification; until then keep the website and program as assessment orientation only.</w:t>
            </w:r>
          </w:p>
        </w:tc>
      </w:tr>
      <w:tr>
        <w:trPr>
          <w:cantSplit/>
        </w:trPr>
        <w:tc>
          <w:tcPr>
            <w:tcW w:type="dxa" w:w="800"/>
            <w:shd w:fill="EBF5ED" w:val="clear"/>
            <w:tcMar>
              <w:top w:w="70" w:type="dxa"/>
              <w:start w:w="90" w:type="dxa"/>
              <w:bottom w:w="70" w:type="dxa"/>
              <w:end w:w="90" w:type="dxa"/>
            </w:tcMar>
            <w:vAlign w:val="center"/>
          </w:tcPr>
          <w:p>
            <w:pPr>
              <w:keepNext w:val="0"/>
              <w:keepLines/>
              <w:spacing w:before="0" w:after="0" w:line="240" w:lineRule="auto"/>
              <w:jc w:val="center"/>
            </w:pPr>
            <w:r>
              <w:rPr>
                <w:rFonts w:ascii="Calibri" w:hAnsi="Calibri" w:eastAsia="Calibri"/>
                <w:b/>
                <w:i w:val="0"/>
                <w:color w:val="17482C"/>
                <w:sz w:val="18"/>
              </w:rPr>
              <w:t>TTC-10</w:t>
            </w:r>
          </w:p>
        </w:tc>
        <w:tc>
          <w:tcPr>
            <w:tcW w:type="dxa" w:w="62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Onshape document sharing, class folder, file naming, units, drawing template, dimension and view conventions, export and production approval workflow.</w:t>
            </w:r>
          </w:p>
        </w:tc>
        <w:tc>
          <w:tcPr>
            <w:tcW w:type="dxa" w:w="300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Class teacher / faculty</w:t>
              <w:br/>
              <w:t>Modules 2-4</w:t>
            </w:r>
          </w:p>
        </w:tc>
        <w:tc>
          <w:tcPr>
            <w:tcW w:type="dxa" w:w="5240"/>
            <w:tcMar>
              <w:top w:w="70" w:type="dxa"/>
              <w:start w:w="90" w:type="dxa"/>
              <w:bottom w:w="70" w:type="dxa"/>
              <w:end w:w="90" w:type="dxa"/>
            </w:tcMar>
            <w:vAlign w:val="center"/>
          </w:tcPr>
          <w:p>
            <w:pPr>
              <w:keepNext w:val="0"/>
              <w:keepLines/>
              <w:spacing w:before="0" w:after="0" w:line="240" w:lineRule="auto"/>
              <w:jc w:val="left"/>
            </w:pPr>
            <w:r>
              <w:rPr>
                <w:rFonts w:ascii="Calibri" w:hAnsi="Calibri" w:eastAsia="Calibri"/>
                <w:b w:val="0"/>
                <w:i w:val="0"/>
                <w:color w:val="26342D"/>
                <w:sz w:val="18"/>
              </w:rPr>
              <w:t>Onshape drawing or export submission for production review</w:t>
              <w:br/>
              <w:t>Issue the current file checklist and approval state labels.</w:t>
            </w:r>
          </w:p>
        </w:tc>
      </w:tr>
    </w:tbl>
    <w:p>
      <w:pPr>
        <w:pStyle w:val="Kicker"/>
      </w:pPr>
      <w:r>
        <w:t>EDITABLE IMPLEMENTATION RECORD</w:t>
      </w:r>
    </w:p>
    <w:p>
      <w:pPr>
        <w:pStyle w:val="Heading1"/>
      </w:pPr>
      <w:r>
        <w:t>Delivery register</w:t>
      </w:r>
    </w:p>
    <w:p>
      <w:pPr>
        <w:keepNext w:val="0"/>
        <w:keepLines w:val="0"/>
        <w:spacing w:before="0" w:after="100" w:line="252" w:lineRule="auto"/>
      </w:pPr>
      <w:r>
        <w:rPr>
          <w:rFonts w:ascii="Calibri" w:hAnsi="Calibri" w:eastAsia="Calibri"/>
          <w:color w:val="5F6B64"/>
          <w:sz w:val="19"/>
        </w:rPr>
        <w:t>The sequence uses flexible learning blocks, not periods. Complete fields during delivery and record any combining, substitution or variance.</w:t>
      </w:r>
    </w:p>
    <w:tbl>
      <w:tblPr>
        <w:tblW w:type="dxa" w:w="15240"/>
        <w:jc w:val="left"/>
        <w:tblLayout w:type="fixed"/>
        <w:tblLook w:firstColumn="1" w:firstRow="1" w:lastColumn="0" w:lastRow="0" w:noHBand="0" w:noVBand="1" w:val="04A0"/>
        <w:tblInd w:w="120" w:type="dxa"/>
        <w:tblBorders>
          <w:top w:val="single" w:sz="5" w:space="0" w:color="B7C9BC"/>
          <w:left w:val="single" w:sz="5" w:space="0" w:color="B7C9BC"/>
          <w:bottom w:val="single" w:sz="5" w:space="0" w:color="B7C9BC"/>
          <w:right w:val="single" w:sz="5" w:space="0" w:color="B7C9BC"/>
          <w:insideH w:val="single" w:sz="5" w:space="0" w:color="B7C9BC"/>
          <w:insideV w:val="single" w:sz="5" w:space="0" w:color="B7C9BC"/>
        </w:tblBorders>
      </w:tblPr>
      <w:tblGrid>
        <w:gridCol w:w="950"/>
        <w:gridCol w:w="2600"/>
        <w:gridCol w:w="1500"/>
        <w:gridCol w:w="950"/>
        <w:gridCol w:w="3000"/>
        <w:gridCol w:w="2600"/>
        <w:gridCol w:w="1800"/>
        <w:gridCol w:w="1840"/>
      </w:tblGrid>
      <w:tr>
        <w:trPr>
          <w:tblHeader w:val="true"/>
          <w:cantSplit/>
        </w:trPr>
        <w:tc>
          <w:tcPr>
            <w:tcW w:type="dxa" w:w="95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Planned block</w:t>
            </w:r>
          </w:p>
        </w:tc>
        <w:tc>
          <w:tcPr>
            <w:tcW w:type="dxa" w:w="260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Planned focus</w:t>
            </w:r>
          </w:p>
        </w:tc>
        <w:tc>
          <w:tcPr>
            <w:tcW w:type="dxa" w:w="150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Actual date</w:t>
            </w:r>
          </w:p>
        </w:tc>
        <w:tc>
          <w:tcPr>
            <w:tcW w:type="dxa" w:w="95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Initials</w:t>
            </w:r>
          </w:p>
        </w:tc>
        <w:tc>
          <w:tcPr>
            <w:tcW w:type="dxa" w:w="300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Completion / variance</w:t>
            </w:r>
          </w:p>
        </w:tc>
        <w:tc>
          <w:tcPr>
            <w:tcW w:type="dxa" w:w="260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Evidence checked</w:t>
            </w:r>
          </w:p>
        </w:tc>
        <w:tc>
          <w:tcPr>
            <w:tcW w:type="dxa" w:w="180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Adjustments</w:t>
            </w:r>
          </w:p>
        </w:tc>
        <w:tc>
          <w:tcPr>
            <w:tcW w:type="dxa" w:w="1840"/>
            <w:shd w:fill="2E6B3D" w:val="clear"/>
            <w:tcMar>
              <w:top w:w="30" w:type="dxa"/>
              <w:start w:w="70" w:type="dxa"/>
              <w:bottom w:w="30" w:type="dxa"/>
              <w:end w:w="70" w:type="dxa"/>
            </w:tcMar>
            <w:vAlign w:val="center"/>
          </w:tcPr>
          <w:p>
            <w:pPr>
              <w:keepNext w:val="0"/>
              <w:keepLines w:val="0"/>
              <w:spacing w:before="0" w:after="0" w:line="240" w:lineRule="auto"/>
              <w:jc w:val="center"/>
            </w:pPr>
            <w:r>
              <w:rPr>
                <w:rFonts w:ascii="Calibri" w:hAnsi="Calibri" w:eastAsia="Calibri"/>
                <w:b/>
                <w:color w:val="FFFFFF"/>
                <w:sz w:val="18"/>
              </w:rPr>
              <w:t>Follow-up</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W1-A</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Read the product and user</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W1-B</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Criteria, constraints and project pathways</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W1-C</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Workshop readiness and sustainability</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W2-A</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Vector and bitmap</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W2-B</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Onshape sketches and features</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W2-C</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Legibility, annotation and peer review</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W3-A</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Material properties and selection</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W3-B</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Measurement, layout and resource efficiency</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W3-C</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Onshape drawings, mounting and approval</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W4-A</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Production sequence and authorisation</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W4-B</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Edges, finishing and quality</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W4-C</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Nesting, offcuts and process evidence</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W5-A</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Surface preparation and coatings</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W5-B</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Hanging, stability and use</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r>
        <w:trPr>
          <w:cantSplit/>
        </w:trPr>
        <w:tc>
          <w:tcPr>
            <w:tcW w:type="dxa" w:w="950"/>
            <w:shd w:fill="EBF5ED" w:val="clear"/>
            <w:tcMar>
              <w:top w:w="15" w:type="dxa"/>
              <w:start w:w="70" w:type="dxa"/>
              <w:bottom w:w="15" w:type="dxa"/>
              <w:end w:w="70" w:type="dxa"/>
            </w:tcMar>
            <w:vAlign w:val="center"/>
          </w:tcPr>
          <w:p>
            <w:pPr>
              <w:keepNext w:val="0"/>
              <w:keepLines/>
              <w:spacing w:before="0" w:after="0" w:line="240" w:lineRule="auto"/>
              <w:jc w:val="center"/>
            </w:pPr>
            <w:r>
              <w:rPr>
                <w:rFonts w:ascii="Calibri" w:hAnsi="Calibri" w:eastAsia="Calibri"/>
                <w:b/>
                <w:i w:val="0"/>
                <w:color w:val="17482C"/>
                <w:sz w:val="18"/>
              </w:rPr>
              <w:t>W5-C</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b w:val="0"/>
                <w:i w:val="0"/>
                <w:color w:val="26342D"/>
                <w:sz w:val="18"/>
              </w:rPr>
              <w:t>Evaluate, feedback and improve</w:t>
            </w:r>
          </w:p>
        </w:tc>
        <w:tc>
          <w:tcPr>
            <w:tcW w:type="dxa" w:w="15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95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30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26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0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c>
          <w:tcPr>
            <w:tcW w:type="dxa" w:w="1840"/>
            <w:tcMar>
              <w:top w:w="15" w:type="dxa"/>
              <w:start w:w="70" w:type="dxa"/>
              <w:bottom w:w="15" w:type="dxa"/>
              <w:end w:w="70" w:type="dxa"/>
            </w:tcMar>
            <w:vAlign w:val="center"/>
          </w:tcPr>
          <w:p>
            <w:pPr>
              <w:keepNext w:val="0"/>
              <w:keepLines/>
              <w:spacing w:before="0" w:after="0" w:line="240" w:lineRule="auto"/>
              <w:jc w:val="left"/>
            </w:pPr>
            <w:r>
              <w:rPr>
                <w:rFonts w:ascii="Calibri" w:hAnsi="Calibri" w:eastAsia="Calibri"/>
                <w:color w:val="26342D"/>
                <w:sz w:val="18"/>
              </w:rPr>
              <w:t xml:space="preserve"> </w:t>
            </w:r>
          </w:p>
        </w:tc>
      </w:tr>
    </w:tbl>
    <w:sectPr w:rsidR="00FC693F" w:rsidRPr="0006063C" w:rsidSect="00034616">
      <w:headerReference w:type="default" r:id="rId9"/>
      <w:footerReference w:type="default" r:id="rId10"/>
      <w:pgSz w:w="16838" w:h="11906" w:orient="landscape"/>
      <w:pgMar w:top="720" w:right="720" w:bottom="720" w:left="7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07" w:val="right"/>
      </w:tabs>
      <w:spacing w:before="0"/>
    </w:pPr>
    <w:r/>
    <w:r>
      <w:rPr>
        <w:rFonts w:ascii="Calibri" w:hAnsi="Calibri" w:eastAsia="Calibri"/>
        <w:color w:val="5F6B64"/>
        <w:sz w:val="17"/>
      </w:rPr>
      <w:t>School-developed and NESA-aligned · not NESA-approved</w:t>
    </w:r>
    <w:r>
      <w:tab/>
    </w:r>
    <w:r>
      <w:rPr>
        <w:rFonts w:ascii="Calibri" w:hAnsi="Calibri" w:eastAsia="Calibri"/>
        <w:color w:val="5F6B64"/>
        <w:sz w:val="17"/>
      </w:rPr>
      <w:t xml:space="preserve">Page </w:t>
    </w:r>
    <w:r>
      <w:rPr>
        <w:rFonts w:ascii="Calibri" w:hAnsi="Calibri" w:eastAsia="Calibri"/>
        <w:color w:val="5F6B64"/>
        <w:sz w:val="17"/>
      </w:rPr>
      <w:fldChar w:fldCharType="begin"/>
      <w:instrText xml:space="preserve">PAGE</w:instrText>
      <w:fldChar w:fldCharType="separate"/>
      <w:t>1</w:t>
      <w:fldChar w:fldCharType="end"/>
    </w:r>
    <w:r>
      <w:rPr>
        <w:rFonts w:ascii="Calibri" w:hAnsi="Calibri" w:eastAsia="Calibri"/>
        <w:color w:val="5F6B64"/>
        <w:sz w:val="17"/>
      </w:rPr>
      <w:t xml:space="preserve"> of </w:t>
    </w:r>
    <w:r>
      <w:rPr>
        <w:rFonts w:ascii="Calibri" w:hAnsi="Calibri" w:eastAsia="Calibri"/>
        <w:color w:val="5F6B64"/>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5307" w:val="right"/>
      </w:tabs>
      <w:spacing w:after="0"/>
    </w:pPr>
    <w:r/>
    <w:r>
      <w:rPr>
        <w:rFonts w:ascii="Calibri" w:hAnsi="Calibri" w:eastAsia="Calibri"/>
        <w:b/>
        <w:color w:val="17482C"/>
        <w:sz w:val="17"/>
      </w:rPr>
      <w:t>TEACHING PROGRAM  ·  SWINGING SIGN</w:t>
    </w:r>
    <w:r>
      <w:tab/>
    </w:r>
    <w:r>
      <w:rPr>
        <w:rFonts w:ascii="Calibri" w:hAnsi="Calibri" w:eastAsia="Calibri"/>
        <w:b/>
        <w:color w:val="5F6B64"/>
        <w:sz w:val="17"/>
      </w:rPr>
      <w:t>RELEASE CANDIDATE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4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482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6B3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48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482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40"/>
    </w:pPr>
    <w:rPr>
      <w:rFonts w:ascii="Calibri" w:hAnsi="Calibri"/>
      <w:b/>
      <w:color w:val="2E6B3D"/>
      <w:sz w:val="19"/>
    </w:rPr>
  </w:style>
  <w:style w:type="paragraph" w:customStyle="1" w:styleId="TableBody">
    <w:name w:val="Table Body"/>
    <w:pPr>
      <w:spacing w:after="0" w:line="240" w:lineRule="auto"/>
    </w:pPr>
    <w:rPr>
      <w:rFonts w:ascii="Calibri" w:hAnsi="Calibri"/>
      <w:color w:val="2634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technology-7-8-2023/overview/course" TargetMode="External"/><Relationship Id="rId12" Type="http://schemas.openxmlformats.org/officeDocument/2006/relationships/hyperlink" Target="https://curriculum.nsw.edu.au/learning-areas/tas/technology-7-8-2023/outcomes" TargetMode="External"/><Relationship Id="rId13" Type="http://schemas.openxmlformats.org/officeDocument/2006/relationships/hyperlink" Target="https://curriculum.nsw.edu.au/learning-areas/tas/technology-7-8-2023/content/stage-4/fadc5a8620" TargetMode="External"/><Relationship Id="rId14" Type="http://schemas.openxmlformats.org/officeDocument/2006/relationships/hyperlink" Target="https://drive.google.com/drive/folders/1Tov_e-MKxiBAM-SPCLnzRjWqKP5dob8k" TargetMode="External"/><Relationship Id="rId15" Type="http://schemas.openxmlformats.org/officeDocument/2006/relationships/hyperlink" Target="../../modules/module-01.html#m01s01-read-the-product-and-user" TargetMode="External"/><Relationship Id="rId16" Type="http://schemas.openxmlformats.org/officeDocument/2006/relationships/hyperlink" Target="../../activities.html#ala-m01s01-evidence-detective" TargetMode="External"/><Relationship Id="rId17" Type="http://schemas.openxmlformats.org/officeDocument/2006/relationships/hyperlink" Target="../../modules/module-01.html#package-m01s01-read-product-user" TargetMode="External"/><Relationship Id="rId18" Type="http://schemas.openxmlformats.org/officeDocument/2006/relationships/hyperlink" Target="../../modules/module-01.html#m01s01-lr01" TargetMode="External"/><Relationship Id="rId19" Type="http://schemas.openxmlformats.org/officeDocument/2006/relationships/hyperlink" Target="../../folio.html#card-folio-research" TargetMode="External"/><Relationship Id="rId20" Type="http://schemas.openxmlformats.org/officeDocument/2006/relationships/hyperlink" Target="../../modules/module-01.html#m01s02-criteria-constraints-and-project-pathways" TargetMode="External"/><Relationship Id="rId21" Type="http://schemas.openxmlformats.org/officeDocument/2006/relationships/hyperlink" Target="../../activities.html#ala-m01s02-pathway-brief-studio" TargetMode="External"/><Relationship Id="rId22" Type="http://schemas.openxmlformats.org/officeDocument/2006/relationships/hyperlink" Target="../../modules/module-01.html#package-m01s02-criteria-constraints-pathways" TargetMode="External"/><Relationship Id="rId23" Type="http://schemas.openxmlformats.org/officeDocument/2006/relationships/hyperlink" Target="../../modules/module-01.html#m01s02-lr01" TargetMode="External"/><Relationship Id="rId24" Type="http://schemas.openxmlformats.org/officeDocument/2006/relationships/hyperlink" Target="../../folio.html#card-folio-brief" TargetMode="External"/><Relationship Id="rId25" Type="http://schemas.openxmlformats.org/officeDocument/2006/relationships/hyperlink" Target="../../modules/module-01.html#m01s03-workshop-readiness-and-sustainability" TargetMode="External"/><Relationship Id="rId26" Type="http://schemas.openxmlformats.org/officeDocument/2006/relationships/hyperlink" Target="../../activities.html#ala-m01s03-decision-gate" TargetMode="External"/><Relationship Id="rId27" Type="http://schemas.openxmlformats.org/officeDocument/2006/relationships/hyperlink" Target="../../modules/module-01.html#package-m01s03-readiness-sustainability" TargetMode="External"/><Relationship Id="rId28" Type="http://schemas.openxmlformats.org/officeDocument/2006/relationships/hyperlink" Target="../../modules/module-01.html#m01s03-lr01" TargetMode="External"/><Relationship Id="rId29" Type="http://schemas.openxmlformats.org/officeDocument/2006/relationships/hyperlink" Target="../../folio.html#card-folio-criteria" TargetMode="External"/><Relationship Id="rId30" Type="http://schemas.openxmlformats.org/officeDocument/2006/relationships/hyperlink" Target="../../modules/module-02.html#m02s01-vector-and-bitmap" TargetMode="External"/><Relationship Id="rId31" Type="http://schemas.openxmlformats.org/officeDocument/2006/relationships/hyperlink" Target="../../activities.html#ala-m02s01-format-triage" TargetMode="External"/><Relationship Id="rId32" Type="http://schemas.openxmlformats.org/officeDocument/2006/relationships/hyperlink" Target="../../modules/module-02.html#package-m02s01-vector-bitmap" TargetMode="External"/><Relationship Id="rId33" Type="http://schemas.openxmlformats.org/officeDocument/2006/relationships/hyperlink" Target="../../modules/module-02.html#m02s01-lr01" TargetMode="External"/><Relationship Id="rId34" Type="http://schemas.openxmlformats.org/officeDocument/2006/relationships/hyperlink" Target="../../folio.html#card-folio-concepts" TargetMode="External"/><Relationship Id="rId35" Type="http://schemas.openxmlformats.org/officeDocument/2006/relationships/hyperlink" Target="../../modules/module-02.html#m02s02-inkscape-tools-and-paths" TargetMode="External"/><Relationship Id="rId36" Type="http://schemas.openxmlformats.org/officeDocument/2006/relationships/hyperlink" Target="../../activities.html#ala-m02s02-path-clinic" TargetMode="External"/><Relationship Id="rId37" Type="http://schemas.openxmlformats.org/officeDocument/2006/relationships/hyperlink" Target="../../modules/module-02.html#package-m02s02-inkscape-tools-paths" TargetMode="External"/><Relationship Id="rId38" Type="http://schemas.openxmlformats.org/officeDocument/2006/relationships/hyperlink" Target="../../modules/module-02.html#m02s02-lr01" TargetMode="External"/><Relationship Id="rId39" Type="http://schemas.openxmlformats.org/officeDocument/2006/relationships/hyperlink" Target="../../folio.html#card-folio-communication" TargetMode="External"/><Relationship Id="rId40" Type="http://schemas.openxmlformats.org/officeDocument/2006/relationships/hyperlink" Target="../../modules/module-02.html#m02s03-legibility-annotation-and-peer-review" TargetMode="External"/><Relationship Id="rId41" Type="http://schemas.openxmlformats.org/officeDocument/2006/relationships/hyperlink" Target="../../activities.html#ala-m02s03-legibility-lab" TargetMode="External"/><Relationship Id="rId42" Type="http://schemas.openxmlformats.org/officeDocument/2006/relationships/hyperlink" Target="../../modules/module-02.html#package-m02s03-legibility-annotation-review" TargetMode="External"/><Relationship Id="rId43" Type="http://schemas.openxmlformats.org/officeDocument/2006/relationships/hyperlink" Target="../../modules/module-02.html#m02s03-lr01" TargetMode="External"/><Relationship Id="rId44" Type="http://schemas.openxmlformats.org/officeDocument/2006/relationships/hyperlink" Target="../../modules/module-03.html#m03s01-material-properties-and-selection" TargetMode="External"/><Relationship Id="rId45" Type="http://schemas.openxmlformats.org/officeDocument/2006/relationships/hyperlink" Target="../../activities.html#ala-m03s01-property-decision-matrix" TargetMode="External"/><Relationship Id="rId46" Type="http://schemas.openxmlformats.org/officeDocument/2006/relationships/hyperlink" Target="../../modules/module-03.html#package-m03s01-material-properties-and-selection" TargetMode="External"/><Relationship Id="rId47" Type="http://schemas.openxmlformats.org/officeDocument/2006/relationships/hyperlink" Target="../../modules/module-03.html#m03s01-lr01" TargetMode="External"/><Relationship Id="rId48" Type="http://schemas.openxmlformats.org/officeDocument/2006/relationships/hyperlink" Target="../../folio.html#card-folio-materials" TargetMode="External"/><Relationship Id="rId49" Type="http://schemas.openxmlformats.org/officeDocument/2006/relationships/hyperlink" Target="../../modules/module-03.html#m03s02-measurement-layout-and-resource-efficiency" TargetMode="External"/><Relationship Id="rId50" Type="http://schemas.openxmlformats.org/officeDocument/2006/relationships/hyperlink" Target="../../activities.html#ala-m03s02-paper-nesting-challenge" TargetMode="External"/><Relationship Id="rId51" Type="http://schemas.openxmlformats.org/officeDocument/2006/relationships/hyperlink" Target="../../modules/module-03.html#package-m03s02-measurement-layout-and-resource-efficiency" TargetMode="External"/><Relationship Id="rId52" Type="http://schemas.openxmlformats.org/officeDocument/2006/relationships/hyperlink" Target="../../modules/module-03.html#m03s02-lr01" TargetMode="External"/><Relationship Id="rId53" Type="http://schemas.openxmlformats.org/officeDocument/2006/relationships/hyperlink" Target="../../folio.html#card-folio-plan" TargetMode="External"/><Relationship Id="rId54" Type="http://schemas.openxmlformats.org/officeDocument/2006/relationships/hyperlink" Target="../../modules/module-03.html#m03s03-files-mounting-and-teacher-approval" TargetMode="External"/><Relationship Id="rId55" Type="http://schemas.openxmlformats.org/officeDocument/2006/relationships/hyperlink" Target="../../activities.html#ala-m03s03-approval-pack-audit" TargetMode="External"/><Relationship Id="rId56" Type="http://schemas.openxmlformats.org/officeDocument/2006/relationships/hyperlink" Target="../../modules/module-03.html#package-m03s03-files-mounting-and-teacher-approval" TargetMode="External"/><Relationship Id="rId57" Type="http://schemas.openxmlformats.org/officeDocument/2006/relationships/hyperlink" Target="../../modules/module-03.html#m03s03-lr01" TargetMode="External"/><Relationship Id="rId58" Type="http://schemas.openxmlformats.org/officeDocument/2006/relationships/hyperlink" Target="../../modules/module-04.html#m04s01-production-sequence-and-authorisation" TargetMode="External"/><Relationship Id="rId59" Type="http://schemas.openxmlformats.org/officeDocument/2006/relationships/hyperlink" Target="../../activities.html#ala-m04s01-production-control-board" TargetMode="External"/><Relationship Id="rId60" Type="http://schemas.openxmlformats.org/officeDocument/2006/relationships/hyperlink" Target="../../modules/module-04.html#package-m04s01-production-sequence-and-authorisation" TargetMode="External"/><Relationship Id="rId61" Type="http://schemas.openxmlformats.org/officeDocument/2006/relationships/hyperlink" Target="../../modules/module-04.html#m04s01-lr01" TargetMode="External"/><Relationship Id="rId62" Type="http://schemas.openxmlformats.org/officeDocument/2006/relationships/hyperlink" Target="../../modules/module-04.html#m04s02-edges-finishing-and-quality" TargetMode="External"/><Relationship Id="rId63" Type="http://schemas.openxmlformats.org/officeDocument/2006/relationships/hyperlink" Target="../../activities.html#ala-m04s02-quality-language-clinic" TargetMode="External"/><Relationship Id="rId64" Type="http://schemas.openxmlformats.org/officeDocument/2006/relationships/hyperlink" Target="../../modules/module-04.html#package-m04s02-edges-finishing-and-quality" TargetMode="External"/><Relationship Id="rId65" Type="http://schemas.openxmlformats.org/officeDocument/2006/relationships/hyperlink" Target="../../modules/module-04.html#m04s02-lr01" TargetMode="External"/><Relationship Id="rId66" Type="http://schemas.openxmlformats.org/officeDocument/2006/relationships/hyperlink" Target="../../folio.html#card-folio-quality" TargetMode="External"/><Relationship Id="rId67" Type="http://schemas.openxmlformats.org/officeDocument/2006/relationships/hyperlink" Target="../../modules/module-04.html#m04s03-nesting-offcuts-and-process-evidence" TargetMode="External"/><Relationship Id="rId68" Type="http://schemas.openxmlformats.org/officeDocument/2006/relationships/hyperlink" Target="../../activities.html#ala-m04s03-evidence-editor" TargetMode="External"/><Relationship Id="rId69" Type="http://schemas.openxmlformats.org/officeDocument/2006/relationships/hyperlink" Target="../../modules/module-04.html#package-m04s03-nesting-offcuts-and-process-evidence" TargetMode="External"/><Relationship Id="rId70" Type="http://schemas.openxmlformats.org/officeDocument/2006/relationships/hyperlink" Target="../../modules/module-04.html#m04s03-lr01" TargetMode="External"/><Relationship Id="rId71" Type="http://schemas.openxmlformats.org/officeDocument/2006/relationships/hyperlink" Target="../../folio.html#card-folio-process" TargetMode="External"/><Relationship Id="rId72" Type="http://schemas.openxmlformats.org/officeDocument/2006/relationships/hyperlink" Target="../../modules/module-05.html#m05s01-surface-preparation-and-coatings" TargetMode="External"/><Relationship Id="rId73" Type="http://schemas.openxmlformats.org/officeDocument/2006/relationships/hyperlink" Target="../../activities.html#ala-m05s01-finish-system-audit" TargetMode="External"/><Relationship Id="rId74" Type="http://schemas.openxmlformats.org/officeDocument/2006/relationships/hyperlink" Target="../../modules/module-05.html#package-m05s01-surface-preparation-and-coatings" TargetMode="External"/><Relationship Id="rId75" Type="http://schemas.openxmlformats.org/officeDocument/2006/relationships/hyperlink" Target="../../modules/module-05.html#m05s01-lr01" TargetMode="External"/><Relationship Id="rId76" Type="http://schemas.openxmlformats.org/officeDocument/2006/relationships/hyperlink" Target="../../folio.html#card-folio-finish-test" TargetMode="External"/><Relationship Id="rId77" Type="http://schemas.openxmlformats.org/officeDocument/2006/relationships/hyperlink" Target="../../modules/module-05.html#m05s02-hanging-stability-and-use" TargetMode="External"/><Relationship Id="rId78" Type="http://schemas.openxmlformats.org/officeDocument/2006/relationships/hyperlink" Target="../../activities.html#ala-m05s02-cardboard-balance-model" TargetMode="External"/><Relationship Id="rId79" Type="http://schemas.openxmlformats.org/officeDocument/2006/relationships/hyperlink" Target="../../modules/module-05.html#package-m05s02-hanging-stability-and-use" TargetMode="External"/><Relationship Id="rId80" Type="http://schemas.openxmlformats.org/officeDocument/2006/relationships/hyperlink" Target="../../modules/module-05.html#m05s02-lr01" TargetMode="External"/><Relationship Id="rId81" Type="http://schemas.openxmlformats.org/officeDocument/2006/relationships/hyperlink" Target="../../modules/module-05.html#m05s03-evaluate-feedback-and-improve" TargetMode="External"/><Relationship Id="rId82" Type="http://schemas.openxmlformats.org/officeDocument/2006/relationships/hyperlink" Target="../../activities.html#ala-m05s03-feedback-triage" TargetMode="External"/><Relationship Id="rId83" Type="http://schemas.openxmlformats.org/officeDocument/2006/relationships/hyperlink" Target="../../modules/module-05.html#package-m05s03-evaluate-feedback-and-improve" TargetMode="External"/><Relationship Id="rId84" Type="http://schemas.openxmlformats.org/officeDocument/2006/relationships/hyperlink" Target="../../modules/module-05.html#m05s03-lr01" TargetMode="External"/><Relationship Id="rId85" Type="http://schemas.openxmlformats.org/officeDocument/2006/relationships/hyperlink" Target="../../folio.html#card-folio-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Swinging Sign - Stage 4 Technology Teaching Program</dc:title>
  <dc:subject>School-developed, NESA-aligned five-week unit program</dc:subject>
  <dc:creator/>
  <cp:keywords>Stage 4 Technology, Materials and production processes, Swinging Sign</cp:keywords>
  <dc:description>Release candidate; GitHub Pages release authorised on 31 August 2026. Timetable, practical and formal assessment details remain Teacher to confirm.</dc:description>
  <cp:lastModifiedBy/>
  <cp:revision>1</cp:revision>
  <dcterms:created xsi:type="dcterms:W3CDTF">2013-12-23T23:15:00Z</dcterms:created>
  <dcterms:modified xsi:type="dcterms:W3CDTF">2013-12-23T23:15:00Z</dcterms:modified>
  <cp:category>Teaching program</cp:category>
</cp:coreProperties>
</file>