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 w:line="240" w:lineRule="auto"/>
      </w:pPr>
      <w:r>
        <w:t>Year 11 Preliminary Design and Technology — delivery register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Editable teacher record | v1.0.0 | checked 1 September 2026. Record actual delivery, evidence reviewed, adjustments used and follow-up. Do not enter student-identifying information in a public copy.</w:t>
      </w:r>
    </w:p>
    <w:p>
      <w:pPr>
        <w:keepNext w:val="0"/>
        <w:spacing w:before="0" w:after="0" w:line="240" w:lineRule="auto"/>
      </w:pPr>
      <w:r>
        <w:rPr>
          <w:rFonts w:ascii="Arial" w:hAnsi="Arial"/>
          <w:b/>
          <w:i w:val="0"/>
          <w:sz w:val="20"/>
        </w:rPr>
        <w:t xml:space="preserve">Authoritative links: </w:t>
      </w:r>
      <w:hyperlink r:id="rId11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Official NESA syllabus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2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11 course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3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11 teacher resources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4" w:history="1">
        <w:r>
          <w:rPr>
            <w:rFonts w:ascii="Arial" w:hAnsi="Arial"/>
            <w:color w:val="0563C1"/>
            <w:u w:val="single"/>
            <w:sz w:val="20"/>
            <w:szCs w:val="20"/>
            <w:b/>
          </w:rPr>
          <w:t xml:space="preserve">Year 11 assessment</w:t>
        </w:r>
      </w:hyperlink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3950"/>
        <w:gridCol w:w="1400"/>
        <w:gridCol w:w="800"/>
        <w:gridCol w:w="2850"/>
        <w:gridCol w:w="2850"/>
        <w:gridCol w:w="3550"/>
      </w:tblGrid>
      <w:tr>
        <w:trPr>
          <w:tblHeader w:val="true"/>
        </w:trPr>
        <w:tc>
          <w:tcPr>
            <w:tcW w:type="dxa" w:w="52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95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14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Actual date</w:t>
            </w:r>
          </w:p>
        </w:tc>
        <w:tc>
          <w:tcPr>
            <w:tcW w:type="dxa" w:w="8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285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285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355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Course launch and design situation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Kitchen need and constraint analysis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Six Thinking Hats collaboration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Group roles and communication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Course launch and design situation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Kitchen need and constraint analysis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Six Thinking Hats collaboration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Group roles and communication</w:t>
              <w:br/>
              <w:t>Outcomes: P1.1, P3.1, P4.1, P5.2, P5.3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CAD idea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Tolerance-trial reasoning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Prototype and technical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Group folio and evaluation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CAD idea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Tolerance-trial reasoning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Prototype and technical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Group folio and evaluation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CAD idea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Tolerance-trial reasoning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Prototype and technical development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Group folio and evaluation</w:t>
              <w:br/>
              <w:t>Outcomes: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settings and research question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Design profession investigation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Australian designer and invention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Individual, social and environmental impact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Research quality and ethics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Communication and revision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settings and research question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Design profession investigation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Australian designer and invention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Individual, social and environmental impact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Research quality and ethics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Communication and revision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settings and research question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profession investigation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Australian designer and invention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Individual, social and environmental impact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Research quality and ethics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Communication and revision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settings and research question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profession investigation</w:t>
              <w:br/>
              <w:t>Outcomes: P1.1, P2.1, P2.2, P5.1, P5.2, P5.3,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Target market and need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Market research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Criteria, action and finance planning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Creativity and degree of difference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Safety-research boundary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Prototype and testing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Ongoing evaluation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Simplified MDP folio reflection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Target market and need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Market research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Criteria, action and finance planning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Creativity and degree of difference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Safety-research boundary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Prototype and testing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Ongoing evaluation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Simplified MDP folio reflection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Target market and need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Market research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Criteria, action and finance planning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Creativity and degree of difference</w:t>
              <w:br/>
              <w:t>Outcomes: P1.1,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Identify the camping need and target market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Areas of investigation and market evidence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Criteria to evaluate success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Action and finance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Ideas and degree of difference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Design factors analysis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Experiment, test and conclude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Resources and production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Teacher-authorised realisation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Ongoing and final evaluation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Marketing and project handoff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Identify the camping need and target market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Areas of investigation and market evidence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Criteria to evaluate success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Action and finance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Ideas and degree of difference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Design factors analysis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Experiment, test and conclude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Resources and production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Teacher-authorised realisation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Ongoing and final evaluation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Marketing and project handoff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Identify the camping need and target market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Areas of investigation and market evidence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Criteria to evaluate success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Action and finance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Ideas and degree of difference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Design factors analysis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Experiment, test and conclude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Resources and production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Teacher-authorised realisation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Ongoing and final evaluation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Marketing and project handoff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Identify the camping need and target market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Areas of investigation and market evidence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Criteria to evaluate success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Action and finance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Ideas and degree of difference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Design factors analysis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Experiment, test and conclude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Resources and production planning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Teacher-authorised realisation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Ongoing and final evaluation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 — Marketing and project handoff</w:t>
              <w:br/>
              <w:t>Outcomes: P1.1,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theory retrieval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Settings and impact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Creative and production-process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Examination response strategy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 bridge and individual MDP boundary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 — Design theory retrieval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111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Settings and impact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112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Creative and production-process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113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Examination response strategy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114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 bridge and individual MDP boundary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115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theory retrieval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116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Settings and impact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117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Creative and production-process synthesis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118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Examination response strategy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119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HSC bridge and individual MDP boundary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120</w:t>
            </w:r>
          </w:p>
        </w:tc>
        <w:tc>
          <w:tcPr>
            <w:tcW w:type="dxa" w:w="3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 — Design theory retrieval</w:t>
              <w:br/>
              <w:t>Outcomes: P1.1, P2.1, P2.2, P3.1, P4.1, P4.2, P4.3, P5.1, P5.2, P5.3, P6.1, P6.2</w:t>
            </w:r>
          </w:p>
        </w:tc>
        <w:tc>
          <w:tcPr>
            <w:tcW w:type="dxa" w:w="1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5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82" w:right="454" w:bottom="454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/>
        <w:b w:val="0"/>
        <w:i w:val="0"/>
        <w:sz w:val="19"/>
      </w:rPr>
      <w:t xml:space="preserve">Page </w:t>
    </w:r>
    <w:fldSimple w:instr="PAGE">
      <w:r>
        <w:rPr>
          <w:sz w:val="1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/>
    <w:r>
      <w:rPr>
        <w:rFonts w:ascii="Arial" w:hAnsi="Arial"/>
        <w:b/>
        <w:i w:val="0"/>
        <w:color w:val="0F5B63"/>
        <w:sz w:val="19"/>
      </w:rPr>
      <w:t>WWHS | Design and Technology Stage 6 | Delivery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F5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D2A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color w:val="0D2A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80" w:after="40"/>
    </w:pPr>
    <w:rPr>
      <w:rFonts w:asciiTheme="majorHAnsi" w:eastAsiaTheme="majorEastAsia" w:hAnsiTheme="majorHAnsi" w:cstheme="majorBidi" w:ascii="Arial" w:hAnsi="Arial"/>
      <w:i/>
      <w:iCs/>
      <w:color w:val="0F5B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sw.gov.au/education-and-training/nesa/curriculum/tas/design-and-technology-stage-6-2013" TargetMode="External"/><Relationship Id="rId12" Type="http://schemas.openxmlformats.org/officeDocument/2006/relationships/hyperlink" Target="https://stevencowell.github.io/Main-Page/Year-11-Design-and-Technology/" TargetMode="External"/><Relationship Id="rId13" Type="http://schemas.openxmlformats.org/officeDocument/2006/relationships/hyperlink" Target="https://stevencowell.github.io/Main-Page/Year-11-Design-and-Technology/teacher-resources.html" TargetMode="External"/><Relationship Id="rId14" Type="http://schemas.openxmlformats.org/officeDocument/2006/relationships/hyperlink" Target="https://stevencowell.github.io/Main-Page/Year-11-Design-and-Technology/assessm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11 Preliminary Design and Technology delivery register</dc:title>
  <dc:subject>Design and Technology Stage 6 Delivery register</dc:subject>
  <dc:creator>Wagga Wagga High School TAS</dc:creator>
  <cp:keywords>Design and Technology, Stage 6, teacher program, source-bound</cp:keywords>
  <dc:description>Phase 1 binary repair candidate; not yet released or registered.</dc:description>
  <cp:lastModifiedBy>Wagga Wagga High School TAS</cp:lastModifiedBy>
  <cp:revision>1</cp:revision>
  <dcterms:created xsi:type="dcterms:W3CDTF">2013-12-23T23:15:00Z</dcterms:created>
  <dcterms:modified xsi:type="dcterms:W3CDTF">2013-12-23T23:15:00Z</dcterms:modified>
  <cp:category>Teacher program</cp:category>
</cp:coreProperties>
</file>