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B65F49"/>
          <w:sz w:val="18"/>
        </w:rPr>
        <w:t>DESIGN &amp; TECHNOLOGY</w:t>
      </w:r>
    </w:p>
    <w:p>
      <w:pPr>
        <w:pStyle w:val="Title"/>
        <w:spacing w:before="0" w:after="40" w:line="228" w:lineRule="auto"/>
      </w:pPr>
      <w:r>
        <w:rPr>
          <w:rFonts w:ascii="Arial" w:hAnsi="Arial"/>
          <w:b/>
          <w:color w:val="10251F"/>
          <w:sz w:val="60"/>
        </w:rPr>
        <w:t>Stage 6 Design and Technology</w:t>
      </w:r>
    </w:p>
    <w:p>
      <w:pPr>
        <w:spacing w:before="0" w:after="100" w:line="240" w:lineRule="auto"/>
      </w:pPr>
      <w:r>
        <w:rPr>
          <w:rFonts w:ascii="Arial" w:hAnsi="Arial"/>
          <w:b/>
          <w:color w:val="547D69"/>
          <w:sz w:val="28"/>
        </w:rPr>
        <w:t>240-hour master program | v1.0 Network Benchmark</w:t>
      </w:r>
    </w:p>
    <w:p>
      <w:pPr>
        <w:spacing w:before="0" w:after="200" w:line="240" w:lineRule="auto"/>
      </w:pPr>
      <w:r>
        <w:rPr>
          <w:rFonts w:ascii="Arial" w:hAnsi="Arial"/>
          <w:b w:val="0"/>
          <w:color w:val="5C6963"/>
          <w:sz w:val="19"/>
        </w:rPr>
        <w:t>Year 11 blocks 1-60 are complete. Year 12 blocks 61-120 establish a provisional continuity map for the authorised HSC build that follows.</w:t>
      </w:r>
    </w:p>
    <w:tbl>
      <w:tblPr>
        <w:tblW w:type="auto" w:w="0"/>
        <w:jc w:val="center"/>
        <w:tblLook w:firstColumn="1" w:firstRow="1" w:lastColumn="0" w:lastRow="0" w:noHBand="0" w:noVBand="1" w:val="04A0"/>
        <w:tblBorders>
          <w:top w:val="single" w:sz="0" w:space="0" w:color="173A32"/>
          <w:left w:val="single" w:sz="0" w:space="0" w:color="173A32"/>
          <w:bottom w:val="single" w:sz="0" w:space="0" w:color="173A32"/>
          <w:right w:val="single" w:sz="0" w:space="0" w:color="173A32"/>
          <w:insideH w:val="single" w:sz="0" w:space="0" w:color="173A32"/>
          <w:insideV w:val="single" w:sz="0" w:space="0" w:color="173A32"/>
        </w:tblBorders>
      </w:tblPr>
      <w:tblGrid>
        <w:gridCol w:w="14422"/>
      </w:tblGrid>
      <w:tr>
        <w:tc>
          <w:tcPr>
            <w:tcW w:type="dxa" w:w="14422"/>
            <w:shd w:fill="173A32"/>
            <w:tcMar>
              <w:top w:w="90" w:type="dxa"/>
              <w:start w:w="90" w:type="dxa"/>
              <w:bottom w:w="90" w:type="dxa"/>
              <w:end w:w="90" w:type="dxa"/>
            </w:tcMar>
          </w:tcPr>
          <w:p>
            <w:pPr>
              <w:spacing w:before="80" w:after="80" w:line="240" w:lineRule="auto"/>
            </w:pPr>
            <w:r>
              <w:rPr>
                <w:rFonts w:ascii="Arial" w:hAnsi="Arial"/>
                <w:b/>
                <w:color w:val="FFFFFF"/>
                <w:sz w:val="17"/>
              </w:rPr>
              <w:t>Built 31 August 2026  |  Y11-DT-2026-08-31-v1</w:t>
            </w:r>
          </w:p>
        </w:tc>
      </w:tr>
    </w:tbl>
    <w:tbl>
      <w:tblPr>
        <w:tblW w:type="auto" w:w="0"/>
        <w:jc w:val="center"/>
        <w:tblLayout w:type="fixed"/>
        <w:tblLook w:firstColumn="1" w:firstRow="1" w:lastColumn="0" w:lastRow="0" w:noHBand="0" w:noVBand="1" w:val="04A0"/>
        <w:tblBorders>
          <w:top w:val="single" w:sz="6" w:space="0" w:color="D9D2C6"/>
          <w:left w:val="single" w:sz="6" w:space="0" w:color="D9D2C6"/>
          <w:bottom w:val="single" w:sz="6" w:space="0" w:color="D9D2C6"/>
          <w:right w:val="single" w:sz="6" w:space="0" w:color="D9D2C6"/>
          <w:insideH w:val="single" w:sz="6" w:space="0" w:color="D9D2C6"/>
          <w:insideV w:val="single" w:sz="6" w:space="0" w:color="D9D2C6"/>
        </w:tblBorders>
      </w:tblPr>
      <w:tblGrid>
        <w:gridCol w:w="3605"/>
        <w:gridCol w:w="3605"/>
        <w:gridCol w:w="3605"/>
        <w:gridCol w:w="3605"/>
      </w:tblGrid>
      <w:tr>
        <w:trPr>
          <w:cantSplit/>
        </w:trPr>
        <w:tc>
          <w:tcPr>
            <w:tcW w:type="dxa" w:w="1814"/>
            <w:tcMar>
              <w:top w:w="70" w:type="dxa"/>
              <w:start w:w="90" w:type="dxa"/>
              <w:bottom w:w="70" w:type="dxa"/>
              <w:end w:w="90" w:type="dxa"/>
            </w:tcMar>
            <w:vAlign w:val="center"/>
            <w:shd w:fill="F7F0E3"/>
          </w:tcPr>
          <w:p>
            <w:pPr>
              <w:spacing w:before="0" w:after="0" w:line="240" w:lineRule="auto"/>
            </w:pPr>
            <w:r>
              <w:rPr>
                <w:rFonts w:ascii="Arial" w:hAnsi="Arial"/>
                <w:b/>
                <w:color w:val="173A32"/>
                <w:sz w:val="16"/>
              </w:rPr>
              <w:t>Courses</w:t>
            </w:r>
          </w:p>
        </w:tc>
        <w:tc>
          <w:tcPr>
            <w:tcW w:type="dxa" w:w="5499"/>
            <w:tcMar>
              <w:top w:w="70" w:type="dxa"/>
              <w:start w:w="90" w:type="dxa"/>
              <w:bottom w:w="70" w:type="dxa"/>
              <w:end w:w="90" w:type="dxa"/>
            </w:tcMar>
            <w:vAlign w:val="center"/>
          </w:tcPr>
          <w:p>
            <w:pPr>
              <w:spacing w:before="0" w:after="0" w:line="240" w:lineRule="auto"/>
            </w:pPr>
            <w:r>
              <w:rPr>
                <w:rFonts w:ascii="Arial" w:hAnsi="Arial"/>
                <w:b w:val="0"/>
                <w:color w:val="18231F"/>
                <w:sz w:val="16"/>
              </w:rPr>
              <w:t>11080 Preliminary + 15080 HSC</w:t>
            </w:r>
          </w:p>
        </w:tc>
        <w:tc>
          <w:tcPr>
            <w:tcW w:type="dxa" w:w="1814"/>
            <w:tcMar>
              <w:top w:w="70" w:type="dxa"/>
              <w:start w:w="90" w:type="dxa"/>
              <w:bottom w:w="70" w:type="dxa"/>
              <w:end w:w="90" w:type="dxa"/>
            </w:tcMar>
            <w:vAlign w:val="center"/>
            <w:shd w:fill="F7F0E3"/>
          </w:tcPr>
          <w:p>
            <w:pPr>
              <w:spacing w:before="0" w:after="0" w:line="240" w:lineRule="auto"/>
            </w:pPr>
            <w:r>
              <w:rPr>
                <w:rFonts w:ascii="Arial" w:hAnsi="Arial"/>
                <w:b/>
                <w:color w:val="173A32"/>
                <w:sz w:val="16"/>
              </w:rPr>
              <w:t>Delivery</w:t>
            </w:r>
          </w:p>
        </w:tc>
        <w:tc>
          <w:tcPr>
            <w:tcW w:type="dxa" w:w="5669"/>
            <w:tcMar>
              <w:top w:w="70" w:type="dxa"/>
              <w:start w:w="90" w:type="dxa"/>
              <w:bottom w:w="70" w:type="dxa"/>
              <w:end w:w="90" w:type="dxa"/>
            </w:tcMar>
            <w:vAlign w:val="center"/>
          </w:tcPr>
          <w:p>
            <w:pPr>
              <w:spacing w:before="0" w:after="0" w:line="240" w:lineRule="auto"/>
            </w:pPr>
            <w:r>
              <w:rPr>
                <w:rFonts w:ascii="Arial" w:hAnsi="Arial"/>
                <w:b w:val="0"/>
                <w:color w:val="18231F"/>
                <w:sz w:val="16"/>
              </w:rPr>
              <w:t>240 indicative hours | 120 x 2-hour equivalent blocks</w:t>
            </w:r>
          </w:p>
        </w:tc>
      </w:tr>
      <w:tr>
        <w:trPr>
          <w:cantSplit/>
        </w:trPr>
        <w:tc>
          <w:tcPr>
            <w:tcW w:type="dxa" w:w="1814"/>
            <w:tcMar>
              <w:top w:w="70" w:type="dxa"/>
              <w:start w:w="90" w:type="dxa"/>
              <w:bottom w:w="70" w:type="dxa"/>
              <w:end w:w="90" w:type="dxa"/>
            </w:tcMar>
            <w:vAlign w:val="center"/>
            <w:shd w:fill="F7F0E3"/>
          </w:tcPr>
          <w:p>
            <w:pPr>
              <w:spacing w:before="0" w:after="0" w:line="240" w:lineRule="auto"/>
            </w:pPr>
            <w:r>
              <w:rPr>
                <w:rFonts w:ascii="Arial" w:hAnsi="Arial"/>
                <w:b/>
                <w:color w:val="173A32"/>
                <w:sz w:val="16"/>
              </w:rPr>
              <w:t>Year 11</w:t>
            </w:r>
          </w:p>
        </w:tc>
        <w:tc>
          <w:tcPr>
            <w:tcW w:type="dxa" w:w="5499"/>
            <w:tcMar>
              <w:top w:w="70" w:type="dxa"/>
              <w:start w:w="90" w:type="dxa"/>
              <w:bottom w:w="70" w:type="dxa"/>
              <w:end w:w="90" w:type="dxa"/>
            </w:tcMar>
            <w:vAlign w:val="center"/>
          </w:tcPr>
          <w:p>
            <w:pPr>
              <w:spacing w:before="0" w:after="0" w:line="240" w:lineRule="auto"/>
            </w:pPr>
            <w:r>
              <w:rPr>
                <w:rFonts w:ascii="Arial" w:hAnsi="Arial"/>
                <w:b w:val="0"/>
                <w:color w:val="18231F"/>
                <w:sz w:val="16"/>
              </w:rPr>
              <w:t>Complete 120-hour program</w:t>
            </w:r>
          </w:p>
        </w:tc>
        <w:tc>
          <w:tcPr>
            <w:tcW w:type="dxa" w:w="1814"/>
            <w:tcMar>
              <w:top w:w="70" w:type="dxa"/>
              <w:start w:w="90" w:type="dxa"/>
              <w:bottom w:w="70" w:type="dxa"/>
              <w:end w:w="90" w:type="dxa"/>
            </w:tcMar>
            <w:vAlign w:val="center"/>
            <w:shd w:fill="F7F0E3"/>
          </w:tcPr>
          <w:p>
            <w:pPr>
              <w:spacing w:before="0" w:after="0" w:line="240" w:lineRule="auto"/>
            </w:pPr>
            <w:r>
              <w:rPr>
                <w:rFonts w:ascii="Arial" w:hAnsi="Arial"/>
                <w:b/>
                <w:color w:val="173A32"/>
                <w:sz w:val="16"/>
              </w:rPr>
              <w:t>Year 12</w:t>
            </w:r>
          </w:p>
        </w:tc>
        <w:tc>
          <w:tcPr>
            <w:tcW w:type="dxa" w:w="5669"/>
            <w:tcMar>
              <w:top w:w="70" w:type="dxa"/>
              <w:start w:w="90" w:type="dxa"/>
              <w:bottom w:w="70" w:type="dxa"/>
              <w:end w:w="90" w:type="dxa"/>
            </w:tcMar>
            <w:vAlign w:val="center"/>
          </w:tcPr>
          <w:p>
            <w:pPr>
              <w:spacing w:before="0" w:after="0" w:line="240" w:lineRule="auto"/>
            </w:pPr>
            <w:r>
              <w:rPr>
                <w:rFonts w:ascii="Arial" w:hAnsi="Arial"/>
                <w:b w:val="0"/>
                <w:color w:val="18231F"/>
                <w:sz w:val="16"/>
              </w:rPr>
              <w:t>Provisional HSC continuity map - detailed program pending</w:t>
            </w:r>
          </w:p>
        </w:tc>
      </w:tr>
      <w:tr>
        <w:trPr>
          <w:cantSplit/>
        </w:trPr>
        <w:tc>
          <w:tcPr>
            <w:tcW w:type="dxa" w:w="1814"/>
            <w:tcMar>
              <w:top w:w="70" w:type="dxa"/>
              <w:start w:w="90" w:type="dxa"/>
              <w:bottom w:w="70" w:type="dxa"/>
              <w:end w:w="90" w:type="dxa"/>
            </w:tcMar>
            <w:vAlign w:val="center"/>
            <w:shd w:fill="F7F0E3"/>
          </w:tcPr>
          <w:p>
            <w:pPr>
              <w:spacing w:before="0" w:after="0" w:line="240" w:lineRule="auto"/>
            </w:pPr>
            <w:r>
              <w:rPr>
                <w:rFonts w:ascii="Arial" w:hAnsi="Arial"/>
                <w:b/>
                <w:color w:val="173A32"/>
                <w:sz w:val="16"/>
              </w:rPr>
              <w:t>Core projects</w:t>
            </w:r>
          </w:p>
        </w:tc>
        <w:tc>
          <w:tcPr>
            <w:tcW w:type="dxa" w:w="5499"/>
            <w:tcMar>
              <w:top w:w="70" w:type="dxa"/>
              <w:start w:w="90" w:type="dxa"/>
              <w:bottom w:w="70" w:type="dxa"/>
              <w:end w:w="90" w:type="dxa"/>
            </w:tcMar>
            <w:vAlign w:val="center"/>
          </w:tcPr>
          <w:p>
            <w:pPr>
              <w:spacing w:before="0" w:after="0" w:line="240" w:lineRule="auto"/>
            </w:pPr>
            <w:r>
              <w:rPr>
                <w:rFonts w:ascii="Arial" w:hAnsi="Arial"/>
                <w:b w:val="0"/>
                <w:color w:val="18231F"/>
                <w:sz w:val="16"/>
              </w:rPr>
              <w:t>At least two Preliminary projects</w:t>
            </w:r>
          </w:p>
        </w:tc>
        <w:tc>
          <w:tcPr>
            <w:tcW w:type="dxa" w:w="1814"/>
            <w:tcMar>
              <w:top w:w="70" w:type="dxa"/>
              <w:start w:w="90" w:type="dxa"/>
              <w:bottom w:w="70" w:type="dxa"/>
              <w:end w:w="90" w:type="dxa"/>
            </w:tcMar>
            <w:vAlign w:val="center"/>
            <w:shd w:fill="F7F0E3"/>
          </w:tcPr>
          <w:p>
            <w:pPr>
              <w:spacing w:before="0" w:after="0" w:line="240" w:lineRule="auto"/>
            </w:pPr>
            <w:r>
              <w:rPr>
                <w:rFonts w:ascii="Arial" w:hAnsi="Arial"/>
                <w:b/>
                <w:color w:val="173A32"/>
                <w:sz w:val="16"/>
              </w:rPr>
              <w:t>HSC synthesis</w:t>
            </w:r>
          </w:p>
        </w:tc>
        <w:tc>
          <w:tcPr>
            <w:tcW w:type="dxa" w:w="5669"/>
            <w:tcMar>
              <w:top w:w="70" w:type="dxa"/>
              <w:start w:w="90" w:type="dxa"/>
              <w:bottom w:w="70" w:type="dxa"/>
              <w:end w:w="90" w:type="dxa"/>
            </w:tcMar>
            <w:vAlign w:val="center"/>
          </w:tcPr>
          <w:p>
            <w:pPr>
              <w:spacing w:before="0" w:after="0" w:line="240" w:lineRule="auto"/>
            </w:pPr>
            <w:r>
              <w:rPr>
                <w:rFonts w:ascii="Arial" w:hAnsi="Arial"/>
                <w:b w:val="0"/>
                <w:color w:val="18231F"/>
                <w:sz w:val="16"/>
              </w:rPr>
              <w:t>Major Design Project + innovation case study</w:t>
            </w:r>
          </w:p>
        </w:tc>
      </w:tr>
      <w:tr>
        <w:trPr>
          <w:cantSplit/>
        </w:trPr>
        <w:tc>
          <w:tcPr>
            <w:tcW w:type="dxa" w:w="1814"/>
            <w:tcMar>
              <w:top w:w="70" w:type="dxa"/>
              <w:start w:w="90" w:type="dxa"/>
              <w:bottom w:w="70" w:type="dxa"/>
              <w:end w:w="90" w:type="dxa"/>
            </w:tcMar>
            <w:vAlign w:val="center"/>
            <w:shd w:fill="F7F0E3"/>
          </w:tcPr>
          <w:p>
            <w:pPr>
              <w:spacing w:before="0" w:after="0" w:line="240" w:lineRule="auto"/>
            </w:pPr>
            <w:r>
              <w:rPr>
                <w:rFonts w:ascii="Arial" w:hAnsi="Arial"/>
                <w:b/>
                <w:color w:val="173A32"/>
                <w:sz w:val="16"/>
              </w:rPr>
              <w:t>Authority</w:t>
            </w:r>
          </w:p>
        </w:tc>
        <w:tc>
          <w:tcPr>
            <w:tcW w:type="dxa" w:w="5499"/>
            <w:tcMar>
              <w:top w:w="70" w:type="dxa"/>
              <w:start w:w="90" w:type="dxa"/>
              <w:bottom w:w="70" w:type="dxa"/>
              <w:end w:w="90" w:type="dxa"/>
            </w:tcMar>
            <w:vAlign w:val="center"/>
          </w:tcPr>
          <w:p>
            <w:pPr>
              <w:spacing w:before="0" w:after="0" w:line="240" w:lineRule="auto"/>
            </w:pPr>
            <w:r>
              <w:rPr>
                <w:rFonts w:ascii="Arial" w:hAnsi="Arial"/>
                <w:b w:val="0"/>
                <w:color w:val="18231F"/>
                <w:sz w:val="16"/>
              </w:rPr>
              <w:t>Current NESA and school documents</w:t>
            </w:r>
          </w:p>
        </w:tc>
        <w:tc>
          <w:tcPr>
            <w:tcW w:type="dxa" w:w="1814"/>
            <w:tcMar>
              <w:top w:w="70" w:type="dxa"/>
              <w:start w:w="90" w:type="dxa"/>
              <w:bottom w:w="70" w:type="dxa"/>
              <w:end w:w="90" w:type="dxa"/>
            </w:tcMar>
            <w:vAlign w:val="center"/>
            <w:shd w:fill="F7F0E3"/>
          </w:tcPr>
          <w:p>
            <w:pPr>
              <w:spacing w:before="0" w:after="0" w:line="240" w:lineRule="auto"/>
            </w:pPr>
            <w:r>
              <w:rPr>
                <w:rFonts w:ascii="Arial" w:hAnsi="Arial"/>
                <w:b/>
                <w:color w:val="173A32"/>
                <w:sz w:val="16"/>
              </w:rPr>
              <w:t>Build</w:t>
            </w:r>
          </w:p>
        </w:tc>
        <w:tc>
          <w:tcPr>
            <w:tcW w:type="dxa" w:w="5669"/>
            <w:tcMar>
              <w:top w:w="70" w:type="dxa"/>
              <w:start w:w="90" w:type="dxa"/>
              <w:bottom w:w="70" w:type="dxa"/>
              <w:end w:w="90" w:type="dxa"/>
            </w:tcMar>
            <w:vAlign w:val="center"/>
          </w:tcPr>
          <w:p>
            <w:pPr>
              <w:spacing w:before="0" w:after="0" w:line="240" w:lineRule="auto"/>
            </w:pPr>
            <w:r>
              <w:rPr>
                <w:rFonts w:ascii="Arial" w:hAnsi="Arial"/>
                <w:b w:val="0"/>
                <w:color w:val="18231F"/>
                <w:sz w:val="16"/>
              </w:rPr>
              <w:t>31 August 2026 | annual syllabus and assessment check required</w:t>
            </w:r>
          </w:p>
        </w:tc>
      </w:tr>
    </w:tbl>
    <w:p/>
    <w:p>
      <w:pPr>
        <w:spacing w:before="0" w:after="0" w:line="240" w:lineRule="auto"/>
      </w:pPr>
      <w:r>
        <w:rPr>
          <w:rFonts w:ascii="Arial" w:hAnsi="Arial"/>
          <w:b/>
          <w:color w:val="173A32"/>
          <w:sz w:val="16"/>
        </w:rPr>
        <w:t xml:space="preserve">Official course page: </w:t>
      </w:r>
      <w:hyperlink r:id="rId11">
        <w:r>
          <w:rPr>
            <w:color w:val="173A32"/>
            <w:u w:val="single"/>
          </w:rPr>
          <w:t>Design and Technology Stage 6 Syllabus (2013)</w:t>
        </w:r>
      </w:hyperlink>
    </w:p>
    <w:p>
      <w:pPr>
        <w:spacing w:before="0" w:after="0" w:line="240" w:lineRule="auto"/>
      </w:pPr>
      <w:r>
        <w:rPr>
          <w:rFonts w:ascii="Arial" w:hAnsi="Arial"/>
          <w:b/>
          <w:color w:val="B65F49"/>
          <w:sz w:val="16"/>
        </w:rPr>
        <w:t xml:space="preserve">Year 12 status: </w:t>
      </w:r>
      <w:r>
        <w:rPr>
          <w:rFonts w:ascii="Arial" w:hAnsi="Arial"/>
          <w:b/>
          <w:color w:val="B65F49"/>
          <w:sz w:val="16"/>
        </w:rPr>
        <w:t>the sequence below is a planning bridge, not a finished HSC teaching program.</w:t>
      </w:r>
    </w:p>
    <w:p>
      <w:pPr>
        <w:pStyle w:val="Heading1"/>
      </w:pPr>
      <w:r>
        <w:t>Two-year continuity map</w:t>
      </w:r>
    </w:p>
    <w:tbl>
      <w:tblPr>
        <w:tblW w:type="auto" w:w="0"/>
        <w:jc w:val="center"/>
        <w:tblLayout w:type="fixed"/>
        <w:tblLook w:firstColumn="1" w:firstRow="1" w:lastColumn="0" w:lastRow="0" w:noHBand="0" w:noVBand="1" w:val="04A0"/>
        <w:tblBorders>
          <w:top w:val="single" w:sz="6" w:space="0" w:color="D9D2C6"/>
          <w:left w:val="single" w:sz="6" w:space="0" w:color="D9D2C6"/>
          <w:bottom w:val="single" w:sz="6" w:space="0" w:color="D9D2C6"/>
          <w:right w:val="single" w:sz="6" w:space="0" w:color="D9D2C6"/>
          <w:insideH w:val="single" w:sz="6" w:space="0" w:color="D9D2C6"/>
          <w:insideV w:val="single" w:sz="6" w:space="0" w:color="D9D2C6"/>
        </w:tblBorders>
      </w:tblPr>
      <w:tblGrid>
        <w:gridCol w:w="4807"/>
        <w:gridCol w:w="4807"/>
        <w:gridCol w:w="4807"/>
      </w:tblGrid>
      <w:tr>
        <w:trPr>
          <w:tblHeader w:val="true"/>
        </w:trPr>
        <w:tc>
          <w:tcPr>
            <w:tcW w:type="dxa" w:w="680"/>
            <w:tcMar>
              <w:top w:w="70" w:type="dxa"/>
              <w:start w:w="90" w:type="dxa"/>
              <w:bottom w:w="70" w:type="dxa"/>
              <w:end w:w="90" w:type="dxa"/>
            </w:tcMar>
            <w:shd w:fill="173A32"/>
          </w:tcPr>
          <w:p>
            <w:pPr>
              <w:spacing w:before="0" w:after="0" w:line="240" w:lineRule="auto"/>
            </w:pPr>
            <w:r>
              <w:rPr>
                <w:rFonts w:ascii="Arial" w:hAnsi="Arial"/>
                <w:b/>
                <w:color w:val="FFFFFF"/>
                <w:sz w:val="16"/>
              </w:rPr>
              <w:t>Pair</w:t>
            </w:r>
          </w:p>
        </w:tc>
        <w:tc>
          <w:tcPr>
            <w:tcW w:type="dxa" w:w="7257"/>
            <w:tcMar>
              <w:top w:w="70" w:type="dxa"/>
              <w:start w:w="90" w:type="dxa"/>
              <w:bottom w:w="70" w:type="dxa"/>
              <w:end w:w="90" w:type="dxa"/>
            </w:tcMar>
            <w:shd w:fill="173A32"/>
          </w:tcPr>
          <w:p>
            <w:pPr>
              <w:spacing w:before="0" w:after="0" w:line="240" w:lineRule="auto"/>
            </w:pPr>
            <w:r>
              <w:rPr>
                <w:rFonts w:ascii="Arial" w:hAnsi="Arial"/>
                <w:b/>
                <w:color w:val="FFFFFF"/>
                <w:sz w:val="16"/>
              </w:rPr>
              <w:t>Year 11 foundation</w:t>
            </w:r>
          </w:p>
        </w:tc>
        <w:tc>
          <w:tcPr>
            <w:tcW w:type="dxa" w:w="7257"/>
            <w:tcMar>
              <w:top w:w="70" w:type="dxa"/>
              <w:start w:w="90" w:type="dxa"/>
              <w:bottom w:w="70" w:type="dxa"/>
              <w:end w:w="90" w:type="dxa"/>
            </w:tcMar>
            <w:shd w:fill="173A32"/>
          </w:tcPr>
          <w:p>
            <w:pPr>
              <w:spacing w:before="0" w:after="0" w:line="240" w:lineRule="auto"/>
            </w:pPr>
            <w:r>
              <w:rPr>
                <w:rFonts w:ascii="Arial" w:hAnsi="Arial"/>
                <w:b/>
                <w:color w:val="FFFFFF"/>
                <w:sz w:val="16"/>
              </w:rPr>
              <w:t>Year 12 application</w:t>
            </w:r>
          </w:p>
        </w:tc>
      </w:tr>
      <w:tr>
        <w:trPr>
          <w:cantSplit/>
        </w:trPr>
        <w:tc>
          <w:tcPr>
            <w:tcW w:type="dxa" w:w="680"/>
            <w:tcMar>
              <w:top w:w="70" w:type="dxa"/>
              <w:start w:w="90" w:type="dxa"/>
              <w:bottom w:w="70" w:type="dxa"/>
              <w:end w:w="90" w:type="dxa"/>
            </w:tcMar>
            <w:shd w:fill="EDF3EF"/>
          </w:tcPr>
          <w:p>
            <w:pPr>
              <w:spacing w:before="0" w:after="0" w:line="230" w:lineRule="auto"/>
            </w:pPr>
            <w:r>
              <w:rPr>
                <w:rFonts w:ascii="Arial" w:hAnsi="Arial"/>
                <w:b/>
                <w:color w:val="18231F"/>
                <w:sz w:val="14"/>
              </w:rPr>
              <w:t>1</w:t>
            </w:r>
          </w:p>
        </w:tc>
        <w:tc>
          <w:tcPr>
            <w:tcW w:type="dxa" w:w="7257"/>
            <w:tcMar>
              <w:top w:w="70" w:type="dxa"/>
              <w:start w:w="90" w:type="dxa"/>
              <w:bottom w:w="70" w:type="dxa"/>
              <w:end w:w="90" w:type="dxa"/>
            </w:tcMar>
            <w:shd w:fill="EDF3EF"/>
          </w:tcPr>
          <w:p>
            <w:pPr>
              <w:spacing w:before="0" w:after="0" w:line="230" w:lineRule="auto"/>
            </w:pPr>
            <w:r>
              <w:rPr>
                <w:rFonts w:ascii="Arial" w:hAnsi="Arial"/>
                <w:b w:val="0"/>
                <w:color w:val="18231F"/>
                <w:sz w:val="14"/>
              </w:rPr>
              <w:t>Design and Technology foundations</w:t>
              <w:br/>
              <w:t>Understand the course, the work of designers and the adaptable processes used to move from a need to an evaluated solution.</w:t>
            </w:r>
          </w:p>
        </w:tc>
        <w:tc>
          <w:tcPr>
            <w:tcW w:type="dxa" w:w="7257"/>
            <w:tcMar>
              <w:top w:w="70" w:type="dxa"/>
              <w:start w:w="90" w:type="dxa"/>
              <w:bottom w:w="70" w:type="dxa"/>
              <w:end w:w="90" w:type="dxa"/>
            </w:tcMar>
            <w:shd w:fill="EDF3EF"/>
          </w:tcPr>
          <w:p>
            <w:pPr>
              <w:spacing w:before="0" w:after="0" w:line="230" w:lineRule="auto"/>
            </w:pPr>
            <w:r>
              <w:rPr>
                <w:rFonts w:ascii="Arial" w:hAnsi="Arial"/>
                <w:b w:val="0"/>
                <w:color w:val="18231F"/>
                <w:sz w:val="14"/>
              </w:rPr>
              <w:t>HSC orientation and opportunity discovery</w:t>
              <w:br/>
              <w:t>Reconnect Preliminary habits with HSC innovation study and the MDP; explore needs without locking in a solution.</w:t>
            </w:r>
          </w:p>
        </w:tc>
      </w:tr>
      <w:tr>
        <w:trPr>
          <w:cantSplit/>
        </w:trPr>
        <w:tc>
          <w:tcPr>
            <w:tcW w:type="dxa" w:w="680"/>
            <w:tcMar>
              <w:top w:w="70" w:type="dxa"/>
              <w:start w:w="90" w:type="dxa"/>
              <w:bottom w:w="70" w:type="dxa"/>
              <w:end w:w="90" w:type="dxa"/>
            </w:tcMar>
            <w:shd w:fill="FFFFFF"/>
          </w:tcPr>
          <w:p>
            <w:pPr>
              <w:spacing w:before="0" w:after="0" w:line="230" w:lineRule="auto"/>
            </w:pPr>
            <w:r>
              <w:rPr>
                <w:rFonts w:ascii="Arial" w:hAnsi="Arial"/>
                <w:b/>
                <w:color w:val="18231F"/>
                <w:sz w:val="14"/>
              </w:rPr>
              <w:t>2</w:t>
            </w:r>
          </w:p>
        </w:tc>
        <w:tc>
          <w:tcPr>
            <w:tcW w:type="dxa" w:w="7257"/>
            <w:tcMar>
              <w:top w:w="70" w:type="dxa"/>
              <w:start w:w="90" w:type="dxa"/>
              <w:bottom w:w="70" w:type="dxa"/>
              <w:end w:w="90" w:type="dxa"/>
            </w:tcMar>
            <w:shd w:fill="FFFFFF"/>
          </w:tcPr>
          <w:p>
            <w:pPr>
              <w:spacing w:before="0" w:after="0" w:line="230" w:lineRule="auto"/>
            </w:pPr>
            <w:r>
              <w:rPr>
                <w:rFonts w:ascii="Arial" w:hAnsi="Arial"/>
                <w:b w:val="0"/>
                <w:color w:val="18231F"/>
                <w:sz w:val="14"/>
              </w:rPr>
              <w:t>Factors affecting design</w:t>
              <w:br/>
              <w:t>Analyse how needs, function, aesthetics, ergonomics, finance, quality, safety and environmental consequences interact.</w:t>
            </w:r>
          </w:p>
        </w:tc>
        <w:tc>
          <w:tcPr>
            <w:tcW w:type="dxa" w:w="7257"/>
            <w:tcMar>
              <w:top w:w="70" w:type="dxa"/>
              <w:start w:w="90" w:type="dxa"/>
              <w:bottom w:w="70" w:type="dxa"/>
              <w:end w:w="90" w:type="dxa"/>
            </w:tcMar>
            <w:shd w:fill="FFFFFF"/>
          </w:tcPr>
          <w:p>
            <w:pPr>
              <w:spacing w:before="0" w:after="0" w:line="230" w:lineRule="auto"/>
            </w:pPr>
            <w:r>
              <w:rPr>
                <w:rFonts w:ascii="Arial" w:hAnsi="Arial"/>
                <w:b w:val="0"/>
                <w:color w:val="18231F"/>
                <w:sz w:val="14"/>
              </w:rPr>
              <w:t>MDP proposal and scope</w:t>
              <w:br/>
              <w:t>Define a significant need or opportunity, stakeholders, project boundaries, feasibility and proposal evidence.</w:t>
            </w:r>
          </w:p>
        </w:tc>
      </w:tr>
      <w:tr>
        <w:trPr>
          <w:cantSplit/>
        </w:trPr>
        <w:tc>
          <w:tcPr>
            <w:tcW w:type="dxa" w:w="680"/>
            <w:tcMar>
              <w:top w:w="70" w:type="dxa"/>
              <w:start w:w="90" w:type="dxa"/>
              <w:bottom w:w="70" w:type="dxa"/>
              <w:end w:w="90" w:type="dxa"/>
            </w:tcMar>
            <w:shd w:fill="EDF3EF"/>
          </w:tcPr>
          <w:p>
            <w:pPr>
              <w:spacing w:before="0" w:after="0" w:line="230" w:lineRule="auto"/>
            </w:pPr>
            <w:r>
              <w:rPr>
                <w:rFonts w:ascii="Arial" w:hAnsi="Arial"/>
                <w:b/>
                <w:color w:val="18231F"/>
                <w:sz w:val="14"/>
              </w:rPr>
              <w:t>3</w:t>
            </w:r>
          </w:p>
        </w:tc>
        <w:tc>
          <w:tcPr>
            <w:tcW w:type="dxa" w:w="7257"/>
            <w:tcMar>
              <w:top w:w="70" w:type="dxa"/>
              <w:start w:w="90" w:type="dxa"/>
              <w:bottom w:w="70" w:type="dxa"/>
              <w:end w:w="90" w:type="dxa"/>
            </w:tcMar>
            <w:shd w:fill="EDF3EF"/>
          </w:tcPr>
          <w:p>
            <w:pPr>
              <w:spacing w:before="0" w:after="0" w:line="230" w:lineRule="auto"/>
            </w:pPr>
            <w:r>
              <w:rPr>
                <w:rFonts w:ascii="Arial" w:hAnsi="Arial"/>
                <w:b w:val="0"/>
                <w:color w:val="18231F"/>
                <w:sz w:val="14"/>
              </w:rPr>
              <w:t>Research that informs design</w:t>
              <w:br/>
              <w:t>Use varied, ethical and fit-for-purpose research to establish needs, build criteria and modify ideas.</w:t>
            </w:r>
          </w:p>
        </w:tc>
        <w:tc>
          <w:tcPr>
            <w:tcW w:type="dxa" w:w="7257"/>
            <w:tcMar>
              <w:top w:w="70" w:type="dxa"/>
              <w:start w:w="90" w:type="dxa"/>
              <w:bottom w:w="70" w:type="dxa"/>
              <w:end w:w="90" w:type="dxa"/>
            </w:tcMar>
            <w:shd w:fill="EDF3EF"/>
          </w:tcPr>
          <w:p>
            <w:pPr>
              <w:spacing w:before="0" w:after="0" w:line="230" w:lineRule="auto"/>
            </w:pPr>
            <w:r>
              <w:rPr>
                <w:rFonts w:ascii="Arial" w:hAnsi="Arial"/>
                <w:b w:val="0"/>
                <w:color w:val="18231F"/>
                <w:sz w:val="14"/>
              </w:rPr>
              <w:t>Research, criteria and design direction</w:t>
              <w:br/>
              <w:t>Use ethical research, evidence synthesis and criteria to guide a defensible design direction.</w:t>
            </w:r>
          </w:p>
        </w:tc>
      </w:tr>
      <w:tr>
        <w:trPr>
          <w:cantSplit/>
        </w:trPr>
        <w:tc>
          <w:tcPr>
            <w:tcW w:type="dxa" w:w="680"/>
            <w:tcMar>
              <w:top w:w="70" w:type="dxa"/>
              <w:start w:w="90" w:type="dxa"/>
              <w:bottom w:w="70" w:type="dxa"/>
              <w:end w:w="90" w:type="dxa"/>
            </w:tcMar>
            <w:shd w:fill="FFFFFF"/>
          </w:tcPr>
          <w:p>
            <w:pPr>
              <w:spacing w:before="0" w:after="0" w:line="230" w:lineRule="auto"/>
            </w:pPr>
            <w:r>
              <w:rPr>
                <w:rFonts w:ascii="Arial" w:hAnsi="Arial"/>
                <w:b/>
                <w:color w:val="18231F"/>
                <w:sz w:val="14"/>
              </w:rPr>
              <w:t>4</w:t>
            </w:r>
          </w:p>
        </w:tc>
        <w:tc>
          <w:tcPr>
            <w:tcW w:type="dxa" w:w="7257"/>
            <w:tcMar>
              <w:top w:w="70" w:type="dxa"/>
              <w:start w:w="90" w:type="dxa"/>
              <w:bottom w:w="70" w:type="dxa"/>
              <w:end w:w="90" w:type="dxa"/>
            </w:tcMar>
            <w:shd w:fill="FFFFFF"/>
          </w:tcPr>
          <w:p>
            <w:pPr>
              <w:spacing w:before="0" w:after="0" w:line="230" w:lineRule="auto"/>
            </w:pPr>
            <w:r>
              <w:rPr>
                <w:rFonts w:ascii="Arial" w:hAnsi="Arial"/>
                <w:b w:val="0"/>
                <w:color w:val="18231F"/>
                <w:sz w:val="14"/>
              </w:rPr>
              <w:t>Design and production settings</w:t>
              <w:br/>
              <w:t>Relate school design projects to domestic, community, industrial and commercial practices and technologies.</w:t>
            </w:r>
          </w:p>
        </w:tc>
        <w:tc>
          <w:tcPr>
            <w:tcW w:type="dxa" w:w="7257"/>
            <w:tcMar>
              <w:top w:w="70" w:type="dxa"/>
              <w:start w:w="90" w:type="dxa"/>
              <w:bottom w:w="70" w:type="dxa"/>
              <w:end w:w="90" w:type="dxa"/>
            </w:tcMar>
            <w:shd w:fill="FFFFFF"/>
          </w:tcPr>
          <w:p>
            <w:pPr>
              <w:spacing w:before="0" w:after="0" w:line="230" w:lineRule="auto"/>
            </w:pPr>
            <w:r>
              <w:rPr>
                <w:rFonts w:ascii="Arial" w:hAnsi="Arial"/>
                <w:b w:val="0"/>
                <w:color w:val="18231F"/>
                <w:sz w:val="14"/>
              </w:rPr>
              <w:t>Project management and finance</w:t>
              <w:br/>
              <w:t>Develop active action, time and finance plans with dependencies, contingencies and decision points.</w:t>
            </w:r>
          </w:p>
        </w:tc>
      </w:tr>
      <w:tr>
        <w:trPr>
          <w:cantSplit/>
        </w:trPr>
        <w:tc>
          <w:tcPr>
            <w:tcW w:type="dxa" w:w="680"/>
            <w:tcMar>
              <w:top w:w="70" w:type="dxa"/>
              <w:start w:w="90" w:type="dxa"/>
              <w:bottom w:w="70" w:type="dxa"/>
              <w:end w:w="90" w:type="dxa"/>
            </w:tcMar>
            <w:shd w:fill="EDF3EF"/>
          </w:tcPr>
          <w:p>
            <w:pPr>
              <w:spacing w:before="0" w:after="0" w:line="230" w:lineRule="auto"/>
            </w:pPr>
            <w:r>
              <w:rPr>
                <w:rFonts w:ascii="Arial" w:hAnsi="Arial"/>
                <w:b/>
                <w:color w:val="18231F"/>
                <w:sz w:val="14"/>
              </w:rPr>
              <w:t>5</w:t>
            </w:r>
          </w:p>
        </w:tc>
        <w:tc>
          <w:tcPr>
            <w:tcW w:type="dxa" w:w="7257"/>
            <w:tcMar>
              <w:top w:w="70" w:type="dxa"/>
              <w:start w:w="90" w:type="dxa"/>
              <w:bottom w:w="70" w:type="dxa"/>
              <w:end w:w="90" w:type="dxa"/>
            </w:tcMar>
            <w:shd w:fill="EDF3EF"/>
          </w:tcPr>
          <w:p>
            <w:pPr>
              <w:spacing w:before="0" w:after="0" w:line="230" w:lineRule="auto"/>
            </w:pPr>
            <w:r>
              <w:rPr>
                <w:rFonts w:ascii="Arial" w:hAnsi="Arial"/>
                <w:b w:val="0"/>
                <w:color w:val="18231F"/>
                <w:sz w:val="14"/>
              </w:rPr>
              <w:t>Communicating research and design knowledge</w:t>
              <w:br/>
              <w:t>Choose communication methods for purpose and audience, use command verbs accurately and complete the Research Assignment with evidence.</w:t>
            </w:r>
          </w:p>
        </w:tc>
        <w:tc>
          <w:tcPr>
            <w:tcW w:type="dxa" w:w="7257"/>
            <w:tcMar>
              <w:top w:w="70" w:type="dxa"/>
              <w:start w:w="90" w:type="dxa"/>
              <w:bottom w:w="70" w:type="dxa"/>
              <w:end w:w="90" w:type="dxa"/>
            </w:tcMar>
            <w:shd w:fill="EDF3EF"/>
          </w:tcPr>
          <w:p>
            <w:pPr>
              <w:spacing w:before="0" w:after="0" w:line="230" w:lineRule="auto"/>
            </w:pPr>
            <w:r>
              <w:rPr>
                <w:rFonts w:ascii="Arial" w:hAnsi="Arial"/>
                <w:b w:val="0"/>
                <w:color w:val="18231F"/>
                <w:sz w:val="14"/>
              </w:rPr>
              <w:t>Creative concept development</w:t>
              <w:br/>
              <w:t>Generate, communicate and compare genuinely different concepts using creative and innovative approaches.</w:t>
            </w:r>
          </w:p>
        </w:tc>
      </w:tr>
      <w:tr>
        <w:trPr>
          <w:cantSplit/>
        </w:trPr>
        <w:tc>
          <w:tcPr>
            <w:tcW w:type="dxa" w:w="680"/>
            <w:tcMar>
              <w:top w:w="70" w:type="dxa"/>
              <w:start w:w="90" w:type="dxa"/>
              <w:bottom w:w="70" w:type="dxa"/>
              <w:end w:w="90" w:type="dxa"/>
            </w:tcMar>
            <w:shd w:fill="FFFFFF"/>
          </w:tcPr>
          <w:p>
            <w:pPr>
              <w:spacing w:before="0" w:after="0" w:line="230" w:lineRule="auto"/>
            </w:pPr>
            <w:r>
              <w:rPr>
                <w:rFonts w:ascii="Arial" w:hAnsi="Arial"/>
                <w:b/>
                <w:color w:val="18231F"/>
                <w:sz w:val="14"/>
              </w:rPr>
              <w:t>6</w:t>
            </w:r>
          </w:p>
        </w:tc>
        <w:tc>
          <w:tcPr>
            <w:tcW w:type="dxa" w:w="7257"/>
            <w:tcMar>
              <w:top w:w="70" w:type="dxa"/>
              <w:start w:w="90" w:type="dxa"/>
              <w:bottom w:w="70" w:type="dxa"/>
              <w:end w:w="90" w:type="dxa"/>
            </w:tcMar>
            <w:shd w:fill="FFFFFF"/>
          </w:tcPr>
          <w:p>
            <w:pPr>
              <w:spacing w:before="0" w:after="0" w:line="230" w:lineRule="auto"/>
            </w:pPr>
            <w:r>
              <w:rPr>
                <w:rFonts w:ascii="Arial" w:hAnsi="Arial"/>
                <w:b w:val="0"/>
                <w:color w:val="18231F"/>
                <w:sz w:val="14"/>
              </w:rPr>
              <w:t>Creativity and collaborative design</w:t>
              <w:br/>
              <w:t>Generate alternatives, use cognitive organisers deliberately and collaborate through clear roles and evidence.</w:t>
            </w:r>
          </w:p>
        </w:tc>
        <w:tc>
          <w:tcPr>
            <w:tcW w:type="dxa" w:w="7257"/>
            <w:tcMar>
              <w:top w:w="70" w:type="dxa"/>
              <w:start w:w="90" w:type="dxa"/>
              <w:bottom w:w="70" w:type="dxa"/>
              <w:end w:w="90" w:type="dxa"/>
            </w:tcMar>
            <w:shd w:fill="FFFFFF"/>
          </w:tcPr>
          <w:p>
            <w:pPr>
              <w:spacing w:before="0" w:after="0" w:line="230" w:lineRule="auto"/>
            </w:pPr>
            <w:r>
              <w:rPr>
                <w:rFonts w:ascii="Arial" w:hAnsi="Arial"/>
                <w:b w:val="0"/>
                <w:color w:val="18231F"/>
                <w:sz w:val="14"/>
              </w:rPr>
              <w:t>Experimentation and prototyping</w:t>
              <w:br/>
              <w:t>Test high-risk functions, materials, ergonomics and processes before committing to full production.</w:t>
            </w:r>
          </w:p>
        </w:tc>
      </w:tr>
      <w:tr>
        <w:trPr>
          <w:cantSplit/>
        </w:trPr>
        <w:tc>
          <w:tcPr>
            <w:tcW w:type="dxa" w:w="680"/>
            <w:tcMar>
              <w:top w:w="70" w:type="dxa"/>
              <w:start w:w="90" w:type="dxa"/>
              <w:bottom w:w="70" w:type="dxa"/>
              <w:end w:w="90" w:type="dxa"/>
            </w:tcMar>
            <w:shd w:fill="EDF3EF"/>
          </w:tcPr>
          <w:p>
            <w:pPr>
              <w:spacing w:before="0" w:after="0" w:line="230" w:lineRule="auto"/>
            </w:pPr>
            <w:r>
              <w:rPr>
                <w:rFonts w:ascii="Arial" w:hAnsi="Arial"/>
                <w:b/>
                <w:color w:val="18231F"/>
                <w:sz w:val="14"/>
              </w:rPr>
              <w:t>7</w:t>
            </w:r>
          </w:p>
        </w:tc>
        <w:tc>
          <w:tcPr>
            <w:tcW w:type="dxa" w:w="7257"/>
            <w:tcMar>
              <w:top w:w="70" w:type="dxa"/>
              <w:start w:w="90" w:type="dxa"/>
              <w:bottom w:w="70" w:type="dxa"/>
              <w:end w:w="90" w:type="dxa"/>
            </w:tcMar>
            <w:shd w:fill="EDF3EF"/>
          </w:tcPr>
          <w:p>
            <w:pPr>
              <w:spacing w:before="0" w:after="0" w:line="230" w:lineRule="auto"/>
            </w:pPr>
            <w:r>
              <w:rPr>
                <w:rFonts w:ascii="Arial" w:hAnsi="Arial"/>
                <w:b w:val="0"/>
                <w:color w:val="18231F"/>
                <w:sz w:val="14"/>
              </w:rPr>
              <w:t>Briefs, users and criteria</w:t>
              <w:br/>
              <w:t>Translate evidence about users and contexts into a clear brief, practical boundaries and criteria that guide testing.</w:t>
            </w:r>
          </w:p>
        </w:tc>
        <w:tc>
          <w:tcPr>
            <w:tcW w:type="dxa" w:w="7257"/>
            <w:tcMar>
              <w:top w:w="70" w:type="dxa"/>
              <w:start w:w="90" w:type="dxa"/>
              <w:bottom w:w="70" w:type="dxa"/>
              <w:end w:w="90" w:type="dxa"/>
            </w:tcMar>
            <w:shd w:fill="EDF3EF"/>
          </w:tcPr>
          <w:p>
            <w:pPr>
              <w:spacing w:before="0" w:after="0" w:line="230" w:lineRule="auto"/>
            </w:pPr>
            <w:r>
              <w:rPr>
                <w:rFonts w:ascii="Arial" w:hAnsi="Arial"/>
                <w:b w:val="0"/>
                <w:color w:val="18231F"/>
                <w:sz w:val="14"/>
              </w:rPr>
              <w:t>Resources and technological decisions</w:t>
              <w:br/>
              <w:t>Justify materials, components, services, software and technologies through evidence and whole-project constraints.</w:t>
            </w:r>
          </w:p>
        </w:tc>
      </w:tr>
      <w:tr>
        <w:trPr>
          <w:cantSplit/>
        </w:trPr>
        <w:tc>
          <w:tcPr>
            <w:tcW w:type="dxa" w:w="680"/>
            <w:tcMar>
              <w:top w:w="70" w:type="dxa"/>
              <w:start w:w="90" w:type="dxa"/>
              <w:bottom w:w="70" w:type="dxa"/>
              <w:end w:w="90" w:type="dxa"/>
            </w:tcMar>
            <w:shd w:fill="FFFFFF"/>
          </w:tcPr>
          <w:p>
            <w:pPr>
              <w:spacing w:before="0" w:after="0" w:line="230" w:lineRule="auto"/>
            </w:pPr>
            <w:r>
              <w:rPr>
                <w:rFonts w:ascii="Arial" w:hAnsi="Arial"/>
                <w:b/>
                <w:color w:val="18231F"/>
                <w:sz w:val="14"/>
              </w:rPr>
              <w:t>8</w:t>
            </w:r>
          </w:p>
        </w:tc>
        <w:tc>
          <w:tcPr>
            <w:tcW w:type="dxa" w:w="7257"/>
            <w:tcMar>
              <w:top w:w="70" w:type="dxa"/>
              <w:start w:w="90" w:type="dxa"/>
              <w:bottom w:w="70" w:type="dxa"/>
              <w:end w:w="90" w:type="dxa"/>
            </w:tcMar>
            <w:shd w:fill="FFFFFF"/>
          </w:tcPr>
          <w:p>
            <w:pPr>
              <w:spacing w:before="0" w:after="0" w:line="230" w:lineRule="auto"/>
            </w:pPr>
            <w:r>
              <w:rPr>
                <w:rFonts w:ascii="Arial" w:hAnsi="Arial"/>
                <w:b w:val="0"/>
                <w:color w:val="18231F"/>
                <w:sz w:val="14"/>
              </w:rPr>
              <w:t>Graphical and design communication</w:t>
              <w:br/>
              <w:t>Use freehand, pictorial, orthogonal and digital communication to develop and explain ideas.</w:t>
            </w:r>
          </w:p>
        </w:tc>
        <w:tc>
          <w:tcPr>
            <w:tcW w:type="dxa" w:w="7257"/>
            <w:tcMar>
              <w:top w:w="70" w:type="dxa"/>
              <w:start w:w="90" w:type="dxa"/>
              <w:bottom w:w="70" w:type="dxa"/>
              <w:end w:w="90" w:type="dxa"/>
            </w:tcMar>
            <w:shd w:fill="FFFFFF"/>
          </w:tcPr>
          <w:p>
            <w:pPr>
              <w:spacing w:before="0" w:after="0" w:line="230" w:lineRule="auto"/>
            </w:pPr>
            <w:r>
              <w:rPr>
                <w:rFonts w:ascii="Arial" w:hAnsi="Arial"/>
                <w:b w:val="0"/>
                <w:color w:val="18231F"/>
                <w:sz w:val="14"/>
              </w:rPr>
              <w:t>Production planning and WHS</w:t>
              <w:br/>
              <w:t>Resolve specifications, sequence, quality assurance, safe work and production evidence.</w:t>
            </w:r>
          </w:p>
        </w:tc>
      </w:tr>
      <w:tr>
        <w:trPr>
          <w:cantSplit/>
        </w:trPr>
        <w:tc>
          <w:tcPr>
            <w:tcW w:type="dxa" w:w="680"/>
            <w:tcMar>
              <w:top w:w="70" w:type="dxa"/>
              <w:start w:w="90" w:type="dxa"/>
              <w:bottom w:w="70" w:type="dxa"/>
              <w:end w:w="90" w:type="dxa"/>
            </w:tcMar>
            <w:shd w:fill="EDF3EF"/>
          </w:tcPr>
          <w:p>
            <w:pPr>
              <w:spacing w:before="0" w:after="0" w:line="230" w:lineRule="auto"/>
            </w:pPr>
            <w:r>
              <w:rPr>
                <w:rFonts w:ascii="Arial" w:hAnsi="Arial"/>
                <w:b/>
                <w:color w:val="18231F"/>
                <w:sz w:val="14"/>
              </w:rPr>
              <w:t>9</w:t>
            </w:r>
          </w:p>
        </w:tc>
        <w:tc>
          <w:tcPr>
            <w:tcW w:type="dxa" w:w="7257"/>
            <w:tcMar>
              <w:top w:w="70" w:type="dxa"/>
              <w:start w:w="90" w:type="dxa"/>
              <w:bottom w:w="70" w:type="dxa"/>
              <w:end w:w="90" w:type="dxa"/>
            </w:tcMar>
            <w:shd w:fill="EDF3EF"/>
          </w:tcPr>
          <w:p>
            <w:pPr>
              <w:spacing w:before="0" w:after="0" w:line="230" w:lineRule="auto"/>
            </w:pPr>
            <w:r>
              <w:rPr>
                <w:rFonts w:ascii="Arial" w:hAnsi="Arial"/>
                <w:b w:val="0"/>
                <w:color w:val="18231F"/>
                <w:sz w:val="14"/>
              </w:rPr>
              <w:t>CAD and rapid prototyping</w:t>
              <w:br/>
              <w:t>Build controlled digital models, transfer information to production and use rapid prototypes to test assumptions.</w:t>
            </w:r>
          </w:p>
        </w:tc>
        <w:tc>
          <w:tcPr>
            <w:tcW w:type="dxa" w:w="7257"/>
            <w:tcMar>
              <w:top w:w="70" w:type="dxa"/>
              <w:start w:w="90" w:type="dxa"/>
              <w:bottom w:w="70" w:type="dxa"/>
              <w:end w:w="90" w:type="dxa"/>
            </w:tcMar>
            <w:shd w:fill="EDF3EF"/>
          </w:tcPr>
          <w:p>
            <w:pPr>
              <w:spacing w:before="0" w:after="0" w:line="230" w:lineRule="auto"/>
            </w:pPr>
            <w:r>
              <w:rPr>
                <w:rFonts w:ascii="Arial" w:hAnsi="Arial"/>
                <w:b w:val="0"/>
                <w:color w:val="18231F"/>
                <w:sz w:val="14"/>
              </w:rPr>
              <w:t>Project development and realisation I</w:t>
              <w:br/>
              <w:t>Produce the MDP while documenting practical skill, quality, changes and industrial/commercial links.</w:t>
            </w:r>
          </w:p>
        </w:tc>
      </w:tr>
      <w:tr>
        <w:trPr>
          <w:cantSplit/>
        </w:trPr>
        <w:tc>
          <w:tcPr>
            <w:tcW w:type="dxa" w:w="680"/>
            <w:tcMar>
              <w:top w:w="70" w:type="dxa"/>
              <w:start w:w="90" w:type="dxa"/>
              <w:bottom w:w="70" w:type="dxa"/>
              <w:end w:w="90" w:type="dxa"/>
            </w:tcMar>
            <w:shd w:fill="FFFFFF"/>
          </w:tcPr>
          <w:p>
            <w:pPr>
              <w:spacing w:before="0" w:after="0" w:line="230" w:lineRule="auto"/>
            </w:pPr>
            <w:r>
              <w:rPr>
                <w:rFonts w:ascii="Arial" w:hAnsi="Arial"/>
                <w:b/>
                <w:color w:val="18231F"/>
                <w:sz w:val="14"/>
              </w:rPr>
              <w:t>10</w:t>
            </w:r>
          </w:p>
        </w:tc>
        <w:tc>
          <w:tcPr>
            <w:tcW w:type="dxa" w:w="7257"/>
            <w:tcMar>
              <w:top w:w="70" w:type="dxa"/>
              <w:start w:w="90" w:type="dxa"/>
              <w:bottom w:w="70" w:type="dxa"/>
              <w:end w:w="90" w:type="dxa"/>
            </w:tcMar>
            <w:shd w:fill="FFFFFF"/>
          </w:tcPr>
          <w:p>
            <w:pPr>
              <w:spacing w:before="0" w:after="0" w:line="230" w:lineRule="auto"/>
            </w:pPr>
            <w:r>
              <w:rPr>
                <w:rFonts w:ascii="Arial" w:hAnsi="Arial"/>
                <w:b w:val="0"/>
                <w:color w:val="18231F"/>
                <w:sz w:val="14"/>
              </w:rPr>
              <w:t>Testing, materials and evaluation</w:t>
              <w:br/>
              <w:t>Select resources through evidence, plan fair tests and use evaluation to refine prototypes before final production.</w:t>
            </w:r>
          </w:p>
        </w:tc>
        <w:tc>
          <w:tcPr>
            <w:tcW w:type="dxa" w:w="7257"/>
            <w:tcMar>
              <w:top w:w="70" w:type="dxa"/>
              <w:start w:w="90" w:type="dxa"/>
              <w:bottom w:w="70" w:type="dxa"/>
              <w:end w:w="90" w:type="dxa"/>
            </w:tcMar>
            <w:shd w:fill="FFFFFF"/>
          </w:tcPr>
          <w:p>
            <w:pPr>
              <w:spacing w:before="0" w:after="0" w:line="230" w:lineRule="auto"/>
            </w:pPr>
            <w:r>
              <w:rPr>
                <w:rFonts w:ascii="Arial" w:hAnsi="Arial"/>
                <w:b w:val="0"/>
                <w:color w:val="18231F"/>
                <w:sz w:val="14"/>
              </w:rPr>
              <w:t>Project development and realisation II</w:t>
              <w:br/>
              <w:t>Continue production, control scope and quality, and apply evidence from ongoing evaluation.</w:t>
            </w:r>
          </w:p>
        </w:tc>
      </w:tr>
      <w:tr>
        <w:trPr>
          <w:cantSplit/>
        </w:trPr>
        <w:tc>
          <w:tcPr>
            <w:tcW w:type="dxa" w:w="680"/>
            <w:tcMar>
              <w:top w:w="70" w:type="dxa"/>
              <w:start w:w="90" w:type="dxa"/>
              <w:bottom w:w="70" w:type="dxa"/>
              <w:end w:w="90" w:type="dxa"/>
            </w:tcMar>
            <w:shd w:fill="EDF3EF"/>
          </w:tcPr>
          <w:p>
            <w:pPr>
              <w:spacing w:before="0" w:after="0" w:line="230" w:lineRule="auto"/>
            </w:pPr>
            <w:r>
              <w:rPr>
                <w:rFonts w:ascii="Arial" w:hAnsi="Arial"/>
                <w:b/>
                <w:color w:val="18231F"/>
                <w:sz w:val="14"/>
              </w:rPr>
              <w:t>11</w:t>
            </w:r>
          </w:p>
        </w:tc>
        <w:tc>
          <w:tcPr>
            <w:tcW w:type="dxa" w:w="7257"/>
            <w:tcMar>
              <w:top w:w="70" w:type="dxa"/>
              <w:start w:w="90" w:type="dxa"/>
              <w:bottom w:w="70" w:type="dxa"/>
              <w:end w:w="90" w:type="dxa"/>
            </w:tcMar>
            <w:shd w:fill="EDF3EF"/>
          </w:tcPr>
          <w:p>
            <w:pPr>
              <w:spacing w:before="0" w:after="0" w:line="230" w:lineRule="auto"/>
            </w:pPr>
            <w:r>
              <w:rPr>
                <w:rFonts w:ascii="Arial" w:hAnsi="Arial"/>
                <w:b w:val="0"/>
                <w:color w:val="18231F"/>
                <w:sz w:val="14"/>
              </w:rPr>
              <w:t>Camping design project</w:t>
              <w:br/>
              <w:t>Identify a genuine camping need and convert evidence, constraints and project criteria into a feasible compact product direction.</w:t>
            </w:r>
          </w:p>
        </w:tc>
        <w:tc>
          <w:tcPr>
            <w:tcW w:type="dxa" w:w="7257"/>
            <w:tcMar>
              <w:top w:w="70" w:type="dxa"/>
              <w:start w:w="90" w:type="dxa"/>
              <w:bottom w:w="70" w:type="dxa"/>
              <w:end w:w="90" w:type="dxa"/>
            </w:tcMar>
            <w:shd w:fill="EDF3EF"/>
          </w:tcPr>
          <w:p>
            <w:pPr>
              <w:spacing w:before="0" w:after="0" w:line="230" w:lineRule="auto"/>
            </w:pPr>
            <w:r>
              <w:rPr>
                <w:rFonts w:ascii="Arial" w:hAnsi="Arial"/>
                <w:b w:val="0"/>
                <w:color w:val="18231F"/>
                <w:sz w:val="14"/>
              </w:rPr>
              <w:t>Innovation case study foundations</w:t>
              <w:br/>
              <w:t>Select and define an innovation; investigate context, development, stakeholders and evidence reliability.</w:t>
            </w:r>
          </w:p>
        </w:tc>
      </w:tr>
      <w:tr>
        <w:trPr>
          <w:cantSplit/>
        </w:trPr>
        <w:tc>
          <w:tcPr>
            <w:tcW w:type="dxa" w:w="680"/>
            <w:tcMar>
              <w:top w:w="70" w:type="dxa"/>
              <w:start w:w="90" w:type="dxa"/>
              <w:bottom w:w="70" w:type="dxa"/>
              <w:end w:w="90" w:type="dxa"/>
            </w:tcMar>
            <w:shd w:fill="FFFFFF"/>
          </w:tcPr>
          <w:p>
            <w:pPr>
              <w:spacing w:before="0" w:after="0" w:line="230" w:lineRule="auto"/>
            </w:pPr>
            <w:r>
              <w:rPr>
                <w:rFonts w:ascii="Arial" w:hAnsi="Arial"/>
                <w:b/>
                <w:color w:val="18231F"/>
                <w:sz w:val="14"/>
              </w:rPr>
              <w:t>12</w:t>
            </w:r>
          </w:p>
        </w:tc>
        <w:tc>
          <w:tcPr>
            <w:tcW w:type="dxa" w:w="7257"/>
            <w:tcMar>
              <w:top w:w="70" w:type="dxa"/>
              <w:start w:w="90" w:type="dxa"/>
              <w:bottom w:w="70" w:type="dxa"/>
              <w:end w:w="90" w:type="dxa"/>
            </w:tcMar>
            <w:shd w:fill="FFFFFF"/>
          </w:tcPr>
          <w:p>
            <w:pPr>
              <w:spacing w:before="0" w:after="0" w:line="230" w:lineRule="auto"/>
            </w:pPr>
            <w:r>
              <w:rPr>
                <w:rFonts w:ascii="Arial" w:hAnsi="Arial"/>
                <w:b w:val="0"/>
                <w:color w:val="18231F"/>
                <w:sz w:val="14"/>
              </w:rPr>
              <w:t>Project management and safe production</w:t>
              <w:br/>
              <w:t>Use action, time, finance, resource and WHS planning as active decision tools during project development and production.</w:t>
            </w:r>
          </w:p>
        </w:tc>
        <w:tc>
          <w:tcPr>
            <w:tcW w:type="dxa" w:w="7257"/>
            <w:tcMar>
              <w:top w:w="70" w:type="dxa"/>
              <w:start w:w="90" w:type="dxa"/>
              <w:bottom w:w="70" w:type="dxa"/>
              <w:end w:w="90" w:type="dxa"/>
            </w:tcMar>
            <w:shd w:fill="FFFFFF"/>
          </w:tcPr>
          <w:p>
            <w:pPr>
              <w:spacing w:before="0" w:after="0" w:line="230" w:lineRule="auto"/>
            </w:pPr>
            <w:r>
              <w:rPr>
                <w:rFonts w:ascii="Arial" w:hAnsi="Arial"/>
                <w:b w:val="0"/>
                <w:color w:val="18231F"/>
                <w:sz w:val="14"/>
              </w:rPr>
              <w:t>Innovation success and entrepreneurial activity</w:t>
              <w:br/>
              <w:t>Analyse timing, technologies, agencies, marketing, finance and entrepreneurial decisions affecting success.</w:t>
            </w:r>
          </w:p>
        </w:tc>
      </w:tr>
      <w:tr>
        <w:trPr>
          <w:cantSplit/>
        </w:trPr>
        <w:tc>
          <w:tcPr>
            <w:tcW w:type="dxa" w:w="680"/>
            <w:tcMar>
              <w:top w:w="70" w:type="dxa"/>
              <w:start w:w="90" w:type="dxa"/>
              <w:bottom w:w="70" w:type="dxa"/>
              <w:end w:w="90" w:type="dxa"/>
            </w:tcMar>
            <w:shd w:fill="EDF3EF"/>
          </w:tcPr>
          <w:p>
            <w:pPr>
              <w:spacing w:before="0" w:after="0" w:line="230" w:lineRule="auto"/>
            </w:pPr>
            <w:r>
              <w:rPr>
                <w:rFonts w:ascii="Arial" w:hAnsi="Arial"/>
                <w:b/>
                <w:color w:val="18231F"/>
                <w:sz w:val="14"/>
              </w:rPr>
              <w:t>13</w:t>
            </w:r>
          </w:p>
        </w:tc>
        <w:tc>
          <w:tcPr>
            <w:tcW w:type="dxa" w:w="7257"/>
            <w:tcMar>
              <w:top w:w="70" w:type="dxa"/>
              <w:start w:w="90" w:type="dxa"/>
              <w:bottom w:w="70" w:type="dxa"/>
              <w:end w:w="90" w:type="dxa"/>
            </w:tcMar>
            <w:shd w:fill="EDF3EF"/>
          </w:tcPr>
          <w:p>
            <w:pPr>
              <w:spacing w:before="0" w:after="0" w:line="230" w:lineRule="auto"/>
            </w:pPr>
            <w:r>
              <w:rPr>
                <w:rFonts w:ascii="Arial" w:hAnsi="Arial"/>
                <w:b w:val="0"/>
                <w:color w:val="18231F"/>
                <w:sz w:val="14"/>
              </w:rPr>
              <w:t>Manufacturing, quality and production evidence</w:t>
              <w:br/>
              <w:t>Plan and document a controlled production sequence that links workshop decisions to industrial and commercial practice.</w:t>
            </w:r>
          </w:p>
        </w:tc>
        <w:tc>
          <w:tcPr>
            <w:tcW w:type="dxa" w:w="7257"/>
            <w:tcMar>
              <w:top w:w="70" w:type="dxa"/>
              <w:start w:w="90" w:type="dxa"/>
              <w:bottom w:w="70" w:type="dxa"/>
              <w:end w:w="90" w:type="dxa"/>
            </w:tcMar>
            <w:shd w:fill="EDF3EF"/>
          </w:tcPr>
          <w:p>
            <w:pPr>
              <w:spacing w:before="0" w:after="0" w:line="230" w:lineRule="auto"/>
            </w:pPr>
            <w:r>
              <w:rPr>
                <w:rFonts w:ascii="Arial" w:hAnsi="Arial"/>
                <w:b w:val="0"/>
                <w:color w:val="18231F"/>
                <w:sz w:val="14"/>
              </w:rPr>
              <w:t>Ethical, social and environmental impacts</w:t>
              <w:br/>
              <w:t>Evaluate rights, responsibilities, equity, intellectual property, sustainability and impacts on Australian society.</w:t>
            </w:r>
          </w:p>
        </w:tc>
      </w:tr>
      <w:tr>
        <w:trPr>
          <w:cantSplit/>
        </w:trPr>
        <w:tc>
          <w:tcPr>
            <w:tcW w:type="dxa" w:w="680"/>
            <w:tcMar>
              <w:top w:w="70" w:type="dxa"/>
              <w:start w:w="90" w:type="dxa"/>
              <w:bottom w:w="70" w:type="dxa"/>
              <w:end w:w="90" w:type="dxa"/>
            </w:tcMar>
            <w:shd w:fill="FFFFFF"/>
          </w:tcPr>
          <w:p>
            <w:pPr>
              <w:spacing w:before="0" w:after="0" w:line="230" w:lineRule="auto"/>
            </w:pPr>
            <w:r>
              <w:rPr>
                <w:rFonts w:ascii="Arial" w:hAnsi="Arial"/>
                <w:b/>
                <w:color w:val="18231F"/>
                <w:sz w:val="14"/>
              </w:rPr>
              <w:t>14</w:t>
            </w:r>
          </w:p>
        </w:tc>
        <w:tc>
          <w:tcPr>
            <w:tcW w:type="dxa" w:w="7257"/>
            <w:tcMar>
              <w:top w:w="70" w:type="dxa"/>
              <w:start w:w="90" w:type="dxa"/>
              <w:bottom w:w="70" w:type="dxa"/>
              <w:end w:w="90" w:type="dxa"/>
            </w:tcMar>
            <w:shd w:fill="FFFFFF"/>
          </w:tcPr>
          <w:p>
            <w:pPr>
              <w:spacing w:before="0" w:after="0" w:line="230" w:lineRule="auto"/>
            </w:pPr>
            <w:r>
              <w:rPr>
                <w:rFonts w:ascii="Arial" w:hAnsi="Arial"/>
                <w:b w:val="0"/>
                <w:color w:val="18231F"/>
                <w:sz w:val="14"/>
              </w:rPr>
              <w:t>Marketing, sustainability and final evaluation</w:t>
              <w:br/>
              <w:t>Evaluate the completed solution and communicate a credible market position using evidence rather than unsupported claims.</w:t>
            </w:r>
          </w:p>
        </w:tc>
        <w:tc>
          <w:tcPr>
            <w:tcW w:type="dxa" w:w="7257"/>
            <w:tcMar>
              <w:top w:w="70" w:type="dxa"/>
              <w:start w:w="90" w:type="dxa"/>
              <w:bottom w:w="70" w:type="dxa"/>
              <w:end w:w="90" w:type="dxa"/>
            </w:tcMar>
            <w:shd w:fill="FFFFFF"/>
          </w:tcPr>
          <w:p>
            <w:pPr>
              <w:spacing w:before="0" w:after="0" w:line="230" w:lineRule="auto"/>
            </w:pPr>
            <w:r>
              <w:rPr>
                <w:rFonts w:ascii="Arial" w:hAnsi="Arial"/>
                <w:b w:val="0"/>
                <w:color w:val="18231F"/>
                <w:sz w:val="14"/>
              </w:rPr>
              <w:t>Emerging technologies and examination synthesis</w:t>
              <w:br/>
              <w:t>Critically assess technological emergence and impact; practise sustained evidence-rich HSC responses.</w:t>
            </w:r>
          </w:p>
        </w:tc>
      </w:tr>
      <w:tr>
        <w:trPr>
          <w:cantSplit/>
        </w:trPr>
        <w:tc>
          <w:tcPr>
            <w:tcW w:type="dxa" w:w="680"/>
            <w:tcMar>
              <w:top w:w="70" w:type="dxa"/>
              <w:start w:w="90" w:type="dxa"/>
              <w:bottom w:w="70" w:type="dxa"/>
              <w:end w:w="90" w:type="dxa"/>
            </w:tcMar>
            <w:shd w:fill="EDF3EF"/>
          </w:tcPr>
          <w:p>
            <w:pPr>
              <w:spacing w:before="0" w:after="0" w:line="230" w:lineRule="auto"/>
            </w:pPr>
            <w:r>
              <w:rPr>
                <w:rFonts w:ascii="Arial" w:hAnsi="Arial"/>
                <w:b/>
                <w:color w:val="18231F"/>
                <w:sz w:val="14"/>
              </w:rPr>
              <w:t>15</w:t>
            </w:r>
          </w:p>
        </w:tc>
        <w:tc>
          <w:tcPr>
            <w:tcW w:type="dxa" w:w="7257"/>
            <w:tcMar>
              <w:top w:w="70" w:type="dxa"/>
              <w:start w:w="90" w:type="dxa"/>
              <w:bottom w:w="70" w:type="dxa"/>
              <w:end w:w="90" w:type="dxa"/>
            </w:tcMar>
            <w:shd w:fill="EDF3EF"/>
          </w:tcPr>
          <w:p>
            <w:pPr>
              <w:spacing w:before="0" w:after="0" w:line="230" w:lineRule="auto"/>
            </w:pPr>
            <w:r>
              <w:rPr>
                <w:rFonts w:ascii="Arial" w:hAnsi="Arial"/>
                <w:b w:val="0"/>
                <w:color w:val="18231F"/>
                <w:sz w:val="14"/>
              </w:rPr>
              <w:t>Preliminary synthesis and Year 12 bridge</w:t>
              <w:br/>
              <w:t>Integrate Preliminary knowledge, practise evidence-rich responses and carry disciplined project habits into the HSC course.</w:t>
            </w:r>
          </w:p>
        </w:tc>
        <w:tc>
          <w:tcPr>
            <w:tcW w:type="dxa" w:w="7257"/>
            <w:tcMar>
              <w:top w:w="70" w:type="dxa"/>
              <w:start w:w="90" w:type="dxa"/>
              <w:bottom w:w="70" w:type="dxa"/>
              <w:end w:w="90" w:type="dxa"/>
            </w:tcMar>
            <w:shd w:fill="EDF3EF"/>
          </w:tcPr>
          <w:p>
            <w:pPr>
              <w:spacing w:before="0" w:after="0" w:line="230" w:lineRule="auto"/>
            </w:pPr>
            <w:r>
              <w:rPr>
                <w:rFonts w:ascii="Arial" w:hAnsi="Arial"/>
                <w:b w:val="0"/>
                <w:color w:val="18231F"/>
                <w:sz w:val="14"/>
              </w:rPr>
              <w:t>MDP completion and final evaluation</w:t>
              <w:br/>
              <w:t>Complete, present and evaluate the MDP against need, criteria, process evidence and whole-of-life impacts.</w:t>
            </w:r>
          </w:p>
        </w:tc>
      </w:tr>
    </w:tbl>
    <w:p/>
    <w:p>
      <w:pPr>
        <w:pStyle w:val="Heading1"/>
      </w:pPr>
      <w:r>
        <w:t>Preliminary outcomes</w:t>
      </w:r>
    </w:p>
    <w:tbl>
      <w:tblPr>
        <w:tblW w:type="auto" w:w="0"/>
        <w:tblLook w:firstColumn="1" w:firstRow="1" w:lastColumn="0" w:lastRow="0" w:noHBand="0" w:noVBand="1" w:val="04A0"/>
        <w:tblBorders>
          <w:top w:val="single" w:sz="6" w:space="0" w:color="D9D2C6"/>
          <w:left w:val="single" w:sz="6" w:space="0" w:color="D9D2C6"/>
          <w:bottom w:val="single" w:sz="6" w:space="0" w:color="D9D2C6"/>
          <w:right w:val="single" w:sz="6" w:space="0" w:color="D9D2C6"/>
          <w:insideH w:val="single" w:sz="6" w:space="0" w:color="D9D2C6"/>
          <w:insideV w:val="single" w:sz="6" w:space="0" w:color="D9D2C6"/>
        </w:tblBorders>
      </w:tblPr>
      <w:tblGrid>
        <w:gridCol w:w="3605"/>
        <w:gridCol w:w="3605"/>
        <w:gridCol w:w="3605"/>
        <w:gridCol w:w="3605"/>
      </w:tblGrid>
      <w:tr>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P1.1</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examines design theory and practice, and considers the factors affecting designing and producing in design projects</w:t>
            </w:r>
          </w:p>
        </w:tc>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P4.3</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evaluates the processes and outcomes of designing and producing</w:t>
            </w:r>
          </w:p>
        </w:tc>
      </w:tr>
      <w:tr>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P2.1</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identifies design and production processes in domestic, community, industrial and commercial settings</w:t>
            </w:r>
          </w:p>
        </w:tc>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P5.1</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uses a variety of management techniques and tools to develop design projects</w:t>
            </w:r>
          </w:p>
        </w:tc>
      </w:tr>
      <w:tr>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P2.2</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explains the impact of a range of design and technology activities on the individual, society and the environment through the development of projects</w:t>
            </w:r>
          </w:p>
        </w:tc>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P5.2</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communicates ideas and solutions using a range of techniques</w:t>
            </w:r>
          </w:p>
        </w:tc>
      </w:tr>
      <w:tr>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P3.1</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investigates and experiments with techniques in creative and collaborative approaches in designing and producing</w:t>
            </w:r>
          </w:p>
        </w:tc>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P5.3</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uses a variety of research methods to inform the development and modification of design ideas</w:t>
            </w:r>
          </w:p>
        </w:tc>
      </w:tr>
      <w:tr>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P4.1</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uses design processes in the development and production of design solutions to meet identified needs and opportunities</w:t>
            </w:r>
          </w:p>
        </w:tc>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P6.1</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investigates a range of manufacturing and production processes and relates these to aspects of design projects</w:t>
            </w:r>
          </w:p>
        </w:tc>
      </w:tr>
      <w:tr>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P4.2</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uses resources effectively and safely in the development and production of design solutions</w:t>
            </w:r>
          </w:p>
        </w:tc>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P6.2</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evaluates and uses computer-based technologies in designing and producing</w:t>
            </w:r>
          </w:p>
        </w:tc>
      </w:tr>
    </w:tbl>
    <w:p/>
    <w:p>
      <w:pPr>
        <w:pStyle w:val="Heading1"/>
      </w:pPr>
      <w:r>
        <w:t>HSC outcomes</w:t>
      </w:r>
    </w:p>
    <w:tbl>
      <w:tblPr>
        <w:tblW w:type="auto" w:w="0"/>
        <w:tblLook w:firstColumn="1" w:firstRow="1" w:lastColumn="0" w:lastRow="0" w:noHBand="0" w:noVBand="1" w:val="04A0"/>
        <w:tblBorders>
          <w:top w:val="single" w:sz="6" w:space="0" w:color="D9D2C6"/>
          <w:left w:val="single" w:sz="6" w:space="0" w:color="D9D2C6"/>
          <w:bottom w:val="single" w:sz="6" w:space="0" w:color="D9D2C6"/>
          <w:right w:val="single" w:sz="6" w:space="0" w:color="D9D2C6"/>
          <w:insideH w:val="single" w:sz="6" w:space="0" w:color="D9D2C6"/>
          <w:insideV w:val="single" w:sz="6" w:space="0" w:color="D9D2C6"/>
        </w:tblBorders>
      </w:tblPr>
      <w:tblGrid>
        <w:gridCol w:w="3605"/>
        <w:gridCol w:w="3605"/>
        <w:gridCol w:w="3605"/>
        <w:gridCol w:w="3605"/>
      </w:tblGrid>
      <w:tr>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H1.1</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critically analyses the factors affecting design and the development and success of design projects</w:t>
            </w:r>
          </w:p>
        </w:tc>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H4.2</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selects and uses resources responsibly and safely to realise a quality major design project</w:t>
            </w:r>
          </w:p>
        </w:tc>
      </w:tr>
      <w:tr>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H1.2</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relates the practices and processes of designers and producers to the major design project</w:t>
            </w:r>
          </w:p>
        </w:tc>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H4.3</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evaluates the processes undertaken and the impacts of the major design project</w:t>
            </w:r>
          </w:p>
        </w:tc>
      </w:tr>
      <w:tr>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H2.1</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explains the influence of trends in society on design and production</w:t>
            </w:r>
          </w:p>
        </w:tc>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H5.1</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manages the development of a quality major design project</w:t>
            </w:r>
          </w:p>
        </w:tc>
      </w:tr>
      <w:tr>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H2.2</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evaluates the impact of design and innovation on society and the environment</w:t>
            </w:r>
          </w:p>
        </w:tc>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H5.2</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selects and uses appropriate research methods and communication techniques</w:t>
            </w:r>
          </w:p>
        </w:tc>
      </w:tr>
      <w:tr>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H3.1</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analyses the factors that influence innovation and the success of innovation</w:t>
            </w:r>
          </w:p>
        </w:tc>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H6.1</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justifies technological activities undertaken in the major design project through the study of industrial and commercial practices</w:t>
            </w:r>
          </w:p>
        </w:tc>
      </w:tr>
      <w:tr>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H3.2</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uses creative and innovative approaches in designing and producing</w:t>
            </w:r>
          </w:p>
        </w:tc>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H6.2</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critically assesses the emergence and impact of new technologies, and the factors affecting their development</w:t>
            </w:r>
          </w:p>
        </w:tc>
      </w:tr>
      <w:tr>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H4.1</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identifies a need or opportunity and researches and explores ideas for design development and production of the major design project</w:t>
            </w:r>
          </w:p>
        </w:tc>
        <w:tc>
          <w:tcPr>
            <w:tcW w:type="dxa" w:w="794"/>
            <w:tcMar>
              <w:top w:w="70" w:type="dxa"/>
              <w:start w:w="90" w:type="dxa"/>
              <w:bottom w:w="70" w:type="dxa"/>
              <w:end w:w="90" w:type="dxa"/>
            </w:tcMar>
            <w:shd w:fill="FFFFFF"/>
          </w:tcPr>
          <w:p>
            <w:pPr>
              <w:spacing w:before="0" w:after="0" w:line="240" w:lineRule="auto"/>
            </w:pPr>
            <w:r>
              <w:rPr>
                <w:rFonts w:ascii="Arial" w:hAnsi="Arial"/>
                <w:b w:val="0"/>
                <w:color w:val="18231F"/>
                <w:sz w:val="14"/>
              </w:rPr>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4"/>
              </w:rPr>
            </w:r>
          </w:p>
        </w:tc>
      </w:tr>
    </w:tbl>
    <w:p/>
    <w:p>
      <w:pPr>
        <w:pStyle w:val="Heading1"/>
      </w:pPr>
      <w:r>
        <w:t>Teacher to confirm before use</w:t>
      </w:r>
    </w:p>
    <w:tbl>
      <w:tblPr>
        <w:tblW w:type="auto" w:w="0"/>
        <w:jc w:val="center"/>
        <w:tblLayout w:type="fixed"/>
        <w:tblLook w:firstColumn="1" w:firstRow="1" w:lastColumn="0" w:lastRow="0" w:noHBand="0" w:noVBand="1" w:val="04A0"/>
        <w:tblBorders>
          <w:top w:val="single" w:sz="6" w:space="0" w:color="D9D2C6"/>
          <w:left w:val="single" w:sz="6" w:space="0" w:color="D9D2C6"/>
          <w:bottom w:val="single" w:sz="6" w:space="0" w:color="D9D2C6"/>
          <w:right w:val="single" w:sz="6" w:space="0" w:color="D9D2C6"/>
          <w:insideH w:val="single" w:sz="6" w:space="0" w:color="D9D2C6"/>
          <w:insideV w:val="single" w:sz="6" w:space="0" w:color="D9D2C6"/>
        </w:tblBorders>
      </w:tblPr>
      <w:tblGrid>
        <w:gridCol w:w="4807"/>
        <w:gridCol w:w="4807"/>
        <w:gridCol w:w="4807"/>
      </w:tblGrid>
      <w:tr>
        <w:trPr>
          <w:tblHeader w:val="true"/>
        </w:trPr>
        <w:tc>
          <w:tcPr>
            <w:tcW w:type="dxa" w:w="907"/>
            <w:shd w:fill="173A32"/>
            <w:tcMar>
              <w:top w:w="70" w:type="dxa"/>
              <w:start w:w="90" w:type="dxa"/>
              <w:bottom w:w="70" w:type="dxa"/>
              <w:end w:w="90" w:type="dxa"/>
            </w:tcMar>
          </w:tcPr>
          <w:p>
            <w:pPr>
              <w:spacing w:before="0" w:after="0" w:line="240" w:lineRule="auto"/>
            </w:pPr>
            <w:r>
              <w:rPr>
                <w:rFonts w:ascii="Arial" w:hAnsi="Arial"/>
                <w:b/>
                <w:color w:val="FFFFFF"/>
                <w:sz w:val="16"/>
              </w:rPr>
              <w:t>ID</w:t>
            </w:r>
          </w:p>
        </w:tc>
        <w:tc>
          <w:tcPr>
            <w:tcW w:type="dxa" w:w="2835"/>
            <w:shd w:fill="173A32"/>
            <w:tcMar>
              <w:top w:w="70" w:type="dxa"/>
              <w:start w:w="90" w:type="dxa"/>
              <w:bottom w:w="70" w:type="dxa"/>
              <w:end w:w="90" w:type="dxa"/>
            </w:tcMar>
          </w:tcPr>
          <w:p>
            <w:pPr>
              <w:spacing w:before="0" w:after="0" w:line="240" w:lineRule="auto"/>
            </w:pPr>
            <w:r>
              <w:rPr>
                <w:rFonts w:ascii="Arial" w:hAnsi="Arial"/>
                <w:b/>
                <w:color w:val="FFFFFF"/>
                <w:sz w:val="16"/>
              </w:rPr>
              <w:t>Owner</w:t>
            </w:r>
          </w:p>
        </w:tc>
        <w:tc>
          <w:tcPr>
            <w:tcW w:type="dxa" w:w="11339"/>
            <w:shd w:fill="173A32"/>
            <w:tcMar>
              <w:top w:w="70" w:type="dxa"/>
              <w:start w:w="90" w:type="dxa"/>
              <w:bottom w:w="70" w:type="dxa"/>
              <w:end w:w="90" w:type="dxa"/>
            </w:tcMar>
          </w:tcPr>
          <w:p>
            <w:pPr>
              <w:spacing w:before="0" w:after="0" w:line="240" w:lineRule="auto"/>
            </w:pPr>
            <w:r>
              <w:rPr>
                <w:rFonts w:ascii="Arial" w:hAnsi="Arial"/>
                <w:b/>
                <w:color w:val="FFFFFF"/>
                <w:sz w:val="16"/>
              </w:rPr>
              <w:t>Smallest required action</w:t>
            </w:r>
          </w:p>
        </w:tc>
      </w:tr>
      <w:tr>
        <w:trPr>
          <w:cantSplit/>
        </w:trPr>
        <w:tc>
          <w:tcPr>
            <w:tcW w:type="dxa" w:w="907"/>
            <w:tcMar>
              <w:top w:w="70" w:type="dxa"/>
              <w:start w:w="90" w:type="dxa"/>
              <w:bottom w:w="70" w:type="dxa"/>
              <w:end w:w="90" w:type="dxa"/>
            </w:tcMar>
            <w:shd w:fill="EDF3EF"/>
          </w:tcPr>
          <w:p>
            <w:pPr>
              <w:spacing w:before="0" w:after="0" w:line="240" w:lineRule="auto"/>
            </w:pPr>
            <w:r>
              <w:rPr>
                <w:rFonts w:ascii="Arial" w:hAnsi="Arial"/>
                <w:b/>
                <w:color w:val="18231F"/>
                <w:sz w:val="15"/>
              </w:rPr>
              <w:t>TTC-01</w:t>
            </w:r>
          </w:p>
        </w:tc>
        <w:tc>
          <w:tcPr>
            <w:tcW w:type="dxa" w:w="2835"/>
            <w:tcMar>
              <w:top w:w="70" w:type="dxa"/>
              <w:start w:w="90" w:type="dxa"/>
              <w:bottom w:w="70" w:type="dxa"/>
              <w:end w:w="90" w:type="dxa"/>
            </w:tcMar>
            <w:shd w:fill="EDF3EF"/>
          </w:tcPr>
          <w:p>
            <w:pPr>
              <w:spacing w:before="0" w:after="0" w:line="240" w:lineRule="auto"/>
            </w:pPr>
            <w:r>
              <w:rPr>
                <w:rFonts w:ascii="Arial" w:hAnsi="Arial"/>
                <w:b w:val="0"/>
                <w:color w:val="18231F"/>
                <w:sz w:val="15"/>
              </w:rPr>
              <w:t>Head Teacher / course teacher</w:t>
            </w:r>
          </w:p>
        </w:tc>
        <w:tc>
          <w:tcPr>
            <w:tcW w:type="dxa" w:w="11339"/>
            <w:tcMar>
              <w:top w:w="70" w:type="dxa"/>
              <w:start w:w="90" w:type="dxa"/>
              <w:bottom w:w="70" w:type="dxa"/>
              <w:end w:w="90" w:type="dxa"/>
            </w:tcMar>
            <w:shd w:fill="EDF3EF"/>
          </w:tcPr>
          <w:p>
            <w:pPr>
              <w:spacing w:before="0" w:after="0" w:line="240" w:lineRule="auto"/>
            </w:pPr>
            <w:r>
              <w:rPr>
                <w:rFonts w:ascii="Arial" w:hAnsi="Arial"/>
                <w:b w:val="0"/>
                <w:color w:val="18231F"/>
                <w:sz w:val="15"/>
              </w:rPr>
              <w:t>Map 60 (or 120) equivalent blocks to the local calendar, interruptions, examinations and reporting dates.</w:t>
            </w:r>
          </w:p>
        </w:tc>
      </w:tr>
      <w:tr>
        <w:trPr>
          <w:cantSplit/>
        </w:trPr>
        <w:tc>
          <w:tcPr>
            <w:tcW w:type="dxa" w:w="907"/>
            <w:tcMar>
              <w:top w:w="70" w:type="dxa"/>
              <w:start w:w="90" w:type="dxa"/>
              <w:bottom w:w="70" w:type="dxa"/>
              <w:end w:w="90" w:type="dxa"/>
            </w:tcMar>
            <w:shd w:fill="FFFFFF"/>
          </w:tcPr>
          <w:p>
            <w:pPr>
              <w:spacing w:before="0" w:after="0" w:line="240" w:lineRule="auto"/>
            </w:pPr>
            <w:r>
              <w:rPr>
                <w:rFonts w:ascii="Arial" w:hAnsi="Arial"/>
                <w:b/>
                <w:color w:val="18231F"/>
                <w:sz w:val="15"/>
              </w:rPr>
              <w:t>TTC-02</w:t>
            </w:r>
          </w:p>
        </w:tc>
        <w:tc>
          <w:tcPr>
            <w:tcW w:type="dxa" w:w="2835"/>
            <w:tcMar>
              <w:top w:w="70" w:type="dxa"/>
              <w:start w:w="90" w:type="dxa"/>
              <w:bottom w:w="70" w:type="dxa"/>
              <w:end w:w="90" w:type="dxa"/>
            </w:tcMar>
            <w:shd w:fill="FFFFFF"/>
          </w:tcPr>
          <w:p>
            <w:pPr>
              <w:spacing w:before="0" w:after="0" w:line="240" w:lineRule="auto"/>
            </w:pPr>
            <w:r>
              <w:rPr>
                <w:rFonts w:ascii="Arial" w:hAnsi="Arial"/>
                <w:b w:val="0"/>
                <w:color w:val="18231F"/>
                <w:sz w:val="15"/>
              </w:rPr>
              <w:t>Head Teacher</w:t>
            </w:r>
          </w:p>
        </w:tc>
        <w:tc>
          <w:tcPr>
            <w:tcW w:type="dxa" w:w="11339"/>
            <w:tcMar>
              <w:top w:w="70" w:type="dxa"/>
              <w:start w:w="90" w:type="dxa"/>
              <w:bottom w:w="70" w:type="dxa"/>
              <w:end w:w="90" w:type="dxa"/>
            </w:tcMar>
            <w:shd w:fill="FFFFFF"/>
          </w:tcPr>
          <w:p>
            <w:pPr>
              <w:spacing w:before="0" w:after="0" w:line="240" w:lineRule="auto"/>
            </w:pPr>
            <w:r>
              <w:rPr>
                <w:rFonts w:ascii="Arial" w:hAnsi="Arial"/>
                <w:b w:val="0"/>
                <w:color w:val="18231F"/>
                <w:sz w:val="15"/>
              </w:rPr>
              <w:t>Confirm the current school assessment schedule, formal task notices, adjustments, submission procedures and marking materials.</w:t>
            </w:r>
          </w:p>
        </w:tc>
      </w:tr>
      <w:tr>
        <w:trPr>
          <w:cantSplit/>
        </w:trPr>
        <w:tc>
          <w:tcPr>
            <w:tcW w:type="dxa" w:w="907"/>
            <w:tcMar>
              <w:top w:w="70" w:type="dxa"/>
              <w:start w:w="90" w:type="dxa"/>
              <w:bottom w:w="70" w:type="dxa"/>
              <w:end w:w="90" w:type="dxa"/>
            </w:tcMar>
            <w:shd w:fill="EDF3EF"/>
          </w:tcPr>
          <w:p>
            <w:pPr>
              <w:spacing w:before="0" w:after="0" w:line="240" w:lineRule="auto"/>
            </w:pPr>
            <w:r>
              <w:rPr>
                <w:rFonts w:ascii="Arial" w:hAnsi="Arial"/>
                <w:b/>
                <w:color w:val="18231F"/>
                <w:sz w:val="15"/>
              </w:rPr>
              <w:t>TTC-03</w:t>
            </w:r>
          </w:p>
        </w:tc>
        <w:tc>
          <w:tcPr>
            <w:tcW w:type="dxa" w:w="2835"/>
            <w:tcMar>
              <w:top w:w="70" w:type="dxa"/>
              <w:start w:w="90" w:type="dxa"/>
              <w:bottom w:w="70" w:type="dxa"/>
              <w:end w:w="90" w:type="dxa"/>
            </w:tcMar>
            <w:shd w:fill="EDF3EF"/>
          </w:tcPr>
          <w:p>
            <w:pPr>
              <w:spacing w:before="0" w:after="0" w:line="240" w:lineRule="auto"/>
            </w:pPr>
            <w:r>
              <w:rPr>
                <w:rFonts w:ascii="Arial" w:hAnsi="Arial"/>
                <w:b w:val="0"/>
                <w:color w:val="18231F"/>
                <w:sz w:val="15"/>
              </w:rPr>
              <w:t>Course teacher</w:t>
            </w:r>
          </w:p>
        </w:tc>
        <w:tc>
          <w:tcPr>
            <w:tcW w:type="dxa" w:w="11339"/>
            <w:tcMar>
              <w:top w:w="70" w:type="dxa"/>
              <w:start w:w="90" w:type="dxa"/>
              <w:bottom w:w="70" w:type="dxa"/>
              <w:end w:w="90" w:type="dxa"/>
            </w:tcMar>
            <w:shd w:fill="EDF3EF"/>
          </w:tcPr>
          <w:p>
            <w:pPr>
              <w:spacing w:before="0" w:after="0" w:line="240" w:lineRule="auto"/>
            </w:pPr>
            <w:r>
              <w:rPr>
                <w:rFonts w:ascii="Arial" w:hAnsi="Arial"/>
                <w:b w:val="0"/>
                <w:color w:val="18231F"/>
                <w:sz w:val="15"/>
              </w:rPr>
              <w:t>Confirm class literacy, numeracy, EAL/D, disability, extension, attendance and group-work adjustments.</w:t>
            </w:r>
          </w:p>
        </w:tc>
      </w:tr>
      <w:tr>
        <w:trPr>
          <w:cantSplit/>
        </w:trPr>
        <w:tc>
          <w:tcPr>
            <w:tcW w:type="dxa" w:w="907"/>
            <w:tcMar>
              <w:top w:w="70" w:type="dxa"/>
              <w:start w:w="90" w:type="dxa"/>
              <w:bottom w:w="70" w:type="dxa"/>
              <w:end w:w="90" w:type="dxa"/>
            </w:tcMar>
            <w:shd w:fill="FFFFFF"/>
          </w:tcPr>
          <w:p>
            <w:pPr>
              <w:spacing w:before="0" w:after="0" w:line="240" w:lineRule="auto"/>
            </w:pPr>
            <w:r>
              <w:rPr>
                <w:rFonts w:ascii="Arial" w:hAnsi="Arial"/>
                <w:b/>
                <w:color w:val="18231F"/>
                <w:sz w:val="15"/>
              </w:rPr>
              <w:t>TTC-04</w:t>
            </w:r>
          </w:p>
        </w:tc>
        <w:tc>
          <w:tcPr>
            <w:tcW w:type="dxa" w:w="2835"/>
            <w:tcMar>
              <w:top w:w="70" w:type="dxa"/>
              <w:start w:w="90" w:type="dxa"/>
              <w:bottom w:w="70" w:type="dxa"/>
              <w:end w:w="90" w:type="dxa"/>
            </w:tcMar>
            <w:shd w:fill="FFFFFF"/>
          </w:tcPr>
          <w:p>
            <w:pPr>
              <w:spacing w:before="0" w:after="0" w:line="240" w:lineRule="auto"/>
            </w:pPr>
            <w:r>
              <w:rPr>
                <w:rFonts w:ascii="Arial" w:hAnsi="Arial"/>
                <w:b w:val="0"/>
                <w:color w:val="18231F"/>
                <w:sz w:val="15"/>
              </w:rPr>
              <w:t>Workshop teacher</w:t>
            </w:r>
          </w:p>
        </w:tc>
        <w:tc>
          <w:tcPr>
            <w:tcW w:type="dxa" w:w="11339"/>
            <w:tcMar>
              <w:top w:w="70" w:type="dxa"/>
              <w:start w:w="90" w:type="dxa"/>
              <w:bottom w:w="70" w:type="dxa"/>
              <w:end w:w="90" w:type="dxa"/>
            </w:tcMar>
            <w:shd w:fill="FFFFFF"/>
          </w:tcPr>
          <w:p>
            <w:pPr>
              <w:spacing w:before="0" w:after="0" w:line="240" w:lineRule="auto"/>
            </w:pPr>
            <w:r>
              <w:rPr>
                <w:rFonts w:ascii="Arial" w:hAnsi="Arial"/>
                <w:b w:val="0"/>
                <w:color w:val="18231F"/>
                <w:sz w:val="15"/>
              </w:rPr>
              <w:t>Confirm approved materials, equipment access, induction, SOPs, supervision, risk controls, maintenance and storage.</w:t>
            </w:r>
          </w:p>
        </w:tc>
      </w:tr>
      <w:tr>
        <w:trPr>
          <w:cantSplit/>
        </w:trPr>
        <w:tc>
          <w:tcPr>
            <w:tcW w:type="dxa" w:w="907"/>
            <w:tcMar>
              <w:top w:w="70" w:type="dxa"/>
              <w:start w:w="90" w:type="dxa"/>
              <w:bottom w:w="70" w:type="dxa"/>
              <w:end w:w="90" w:type="dxa"/>
            </w:tcMar>
            <w:shd w:fill="EDF3EF"/>
          </w:tcPr>
          <w:p>
            <w:pPr>
              <w:spacing w:before="0" w:after="0" w:line="240" w:lineRule="auto"/>
            </w:pPr>
            <w:r>
              <w:rPr>
                <w:rFonts w:ascii="Arial" w:hAnsi="Arial"/>
                <w:b/>
                <w:color w:val="18231F"/>
                <w:sz w:val="15"/>
              </w:rPr>
              <w:t>TTC-05</w:t>
            </w:r>
          </w:p>
        </w:tc>
        <w:tc>
          <w:tcPr>
            <w:tcW w:type="dxa" w:w="2835"/>
            <w:tcMar>
              <w:top w:w="70" w:type="dxa"/>
              <w:start w:w="90" w:type="dxa"/>
              <w:bottom w:w="70" w:type="dxa"/>
              <w:end w:w="90" w:type="dxa"/>
            </w:tcMar>
            <w:shd w:fill="EDF3EF"/>
          </w:tcPr>
          <w:p>
            <w:pPr>
              <w:spacing w:before="0" w:after="0" w:line="240" w:lineRule="auto"/>
            </w:pPr>
            <w:r>
              <w:rPr>
                <w:rFonts w:ascii="Arial" w:hAnsi="Arial"/>
                <w:b w:val="0"/>
                <w:color w:val="18231F"/>
                <w:sz w:val="15"/>
              </w:rPr>
              <w:t>Course teacher / community</w:t>
            </w:r>
          </w:p>
        </w:tc>
        <w:tc>
          <w:tcPr>
            <w:tcW w:type="dxa" w:w="11339"/>
            <w:tcMar>
              <w:top w:w="70" w:type="dxa"/>
              <w:start w:w="90" w:type="dxa"/>
              <w:bottom w:w="70" w:type="dxa"/>
              <w:end w:w="90" w:type="dxa"/>
            </w:tcMar>
            <w:shd w:fill="EDF3EF"/>
          </w:tcPr>
          <w:p>
            <w:pPr>
              <w:spacing w:before="0" w:after="0" w:line="240" w:lineRule="auto"/>
            </w:pPr>
            <w:r>
              <w:rPr>
                <w:rFonts w:ascii="Arial" w:hAnsi="Arial"/>
                <w:b w:val="0"/>
                <w:color w:val="18231F"/>
                <w:sz w:val="15"/>
              </w:rPr>
              <w:t>Confirm culturally respectful contexts, permissions, local consultation and treatment of community or cultural knowledge.</w:t>
            </w:r>
          </w:p>
        </w:tc>
      </w:tr>
      <w:tr>
        <w:trPr>
          <w:cantSplit/>
        </w:trPr>
        <w:tc>
          <w:tcPr>
            <w:tcW w:type="dxa" w:w="907"/>
            <w:tcMar>
              <w:top w:w="70" w:type="dxa"/>
              <w:start w:w="90" w:type="dxa"/>
              <w:bottom w:w="70" w:type="dxa"/>
              <w:end w:w="90" w:type="dxa"/>
            </w:tcMar>
            <w:shd w:fill="FFFFFF"/>
          </w:tcPr>
          <w:p>
            <w:pPr>
              <w:spacing w:before="0" w:after="0" w:line="240" w:lineRule="auto"/>
            </w:pPr>
            <w:r>
              <w:rPr>
                <w:rFonts w:ascii="Arial" w:hAnsi="Arial"/>
                <w:b/>
                <w:color w:val="18231F"/>
                <w:sz w:val="15"/>
              </w:rPr>
              <w:t>TTC-06</w:t>
            </w:r>
          </w:p>
        </w:tc>
        <w:tc>
          <w:tcPr>
            <w:tcW w:type="dxa" w:w="2835"/>
            <w:tcMar>
              <w:top w:w="70" w:type="dxa"/>
              <w:start w:w="90" w:type="dxa"/>
              <w:bottom w:w="70" w:type="dxa"/>
              <w:end w:w="90" w:type="dxa"/>
            </w:tcMar>
            <w:shd w:fill="FFFFFF"/>
          </w:tcPr>
          <w:p>
            <w:pPr>
              <w:spacing w:before="0" w:after="0" w:line="240" w:lineRule="auto"/>
            </w:pPr>
            <w:r>
              <w:rPr>
                <w:rFonts w:ascii="Arial" w:hAnsi="Arial"/>
                <w:b w:val="0"/>
                <w:color w:val="18231F"/>
                <w:sz w:val="15"/>
              </w:rPr>
              <w:t>Course teacher</w:t>
            </w:r>
          </w:p>
        </w:tc>
        <w:tc>
          <w:tcPr>
            <w:tcW w:type="dxa" w:w="11339"/>
            <w:tcMar>
              <w:top w:w="70" w:type="dxa"/>
              <w:start w:w="90" w:type="dxa"/>
              <w:bottom w:w="70" w:type="dxa"/>
              <w:end w:w="90" w:type="dxa"/>
            </w:tcMar>
            <w:shd w:fill="FFFFFF"/>
          </w:tcPr>
          <w:p>
            <w:pPr>
              <w:spacing w:before="0" w:after="0" w:line="240" w:lineRule="auto"/>
            </w:pPr>
            <w:r>
              <w:rPr>
                <w:rFonts w:ascii="Arial" w:hAnsi="Arial"/>
                <w:b w:val="0"/>
                <w:color w:val="18231F"/>
                <w:sz w:val="15"/>
              </w:rPr>
              <w:t>Confirm current links, Drive permissions and which supplied resources students may access directly.</w:t>
            </w:r>
          </w:p>
        </w:tc>
      </w:tr>
      <w:tr>
        <w:trPr>
          <w:cantSplit/>
        </w:trPr>
        <w:tc>
          <w:tcPr>
            <w:tcW w:type="dxa" w:w="907"/>
            <w:tcMar>
              <w:top w:w="70" w:type="dxa"/>
              <w:start w:w="90" w:type="dxa"/>
              <w:bottom w:w="70" w:type="dxa"/>
              <w:end w:w="90" w:type="dxa"/>
            </w:tcMar>
            <w:shd w:fill="EDF3EF"/>
          </w:tcPr>
          <w:p>
            <w:pPr>
              <w:spacing w:before="0" w:after="0" w:line="240" w:lineRule="auto"/>
            </w:pPr>
            <w:r>
              <w:rPr>
                <w:rFonts w:ascii="Arial" w:hAnsi="Arial"/>
                <w:b/>
                <w:color w:val="18231F"/>
                <w:sz w:val="15"/>
              </w:rPr>
              <w:t>TTC-07</w:t>
            </w:r>
          </w:p>
        </w:tc>
        <w:tc>
          <w:tcPr>
            <w:tcW w:type="dxa" w:w="2835"/>
            <w:tcMar>
              <w:top w:w="70" w:type="dxa"/>
              <w:start w:w="90" w:type="dxa"/>
              <w:bottom w:w="70" w:type="dxa"/>
              <w:end w:w="90" w:type="dxa"/>
            </w:tcMar>
            <w:shd w:fill="EDF3EF"/>
          </w:tcPr>
          <w:p>
            <w:pPr>
              <w:spacing w:before="0" w:after="0" w:line="240" w:lineRule="auto"/>
            </w:pPr>
            <w:r>
              <w:rPr>
                <w:rFonts w:ascii="Arial" w:hAnsi="Arial"/>
                <w:b w:val="0"/>
                <w:color w:val="18231F"/>
                <w:sz w:val="15"/>
              </w:rPr>
              <w:t>Head Teacher</w:t>
            </w:r>
          </w:p>
        </w:tc>
        <w:tc>
          <w:tcPr>
            <w:tcW w:type="dxa" w:w="11339"/>
            <w:tcMar>
              <w:top w:w="70" w:type="dxa"/>
              <w:start w:w="90" w:type="dxa"/>
              <w:bottom w:w="70" w:type="dxa"/>
              <w:end w:w="90" w:type="dxa"/>
            </w:tcMar>
            <w:shd w:fill="EDF3EF"/>
          </w:tcPr>
          <w:p>
            <w:pPr>
              <w:spacing w:before="0" w:after="0" w:line="240" w:lineRule="auto"/>
            </w:pPr>
            <w:r>
              <w:rPr>
                <w:rFonts w:ascii="Arial" w:hAnsi="Arial"/>
                <w:b w:val="0"/>
                <w:color w:val="18231F"/>
                <w:sz w:val="15"/>
              </w:rPr>
              <w:t>Replace provisional Year 12 blocks with the authorised detailed Year 12 program when the HSC site is built.</w:t>
            </w:r>
          </w:p>
        </w:tc>
      </w:tr>
    </w:tbl>
    <w:p/>
    <w:p>
      <w:pPr>
        <w:pStyle w:val="Heading1"/>
      </w:pPr>
      <w:r>
        <w:t>Assessment source boundary</w:t>
      </w:r>
    </w:p>
    <w:tbl>
      <w:tblPr>
        <w:tblW w:type="auto" w:w="0"/>
        <w:jc w:val="center"/>
        <w:tblLayout w:type="fixed"/>
        <w:tblLook w:firstColumn="1" w:firstRow="1" w:lastColumn="0" w:lastRow="0" w:noHBand="0" w:noVBand="1" w:val="04A0"/>
        <w:tblBorders>
          <w:top w:val="single" w:sz="6" w:space="0" w:color="D9D2C6"/>
          <w:left w:val="single" w:sz="6" w:space="0" w:color="D9D2C6"/>
          <w:bottom w:val="single" w:sz="6" w:space="0" w:color="D9D2C6"/>
          <w:right w:val="single" w:sz="6" w:space="0" w:color="D9D2C6"/>
          <w:insideH w:val="single" w:sz="6" w:space="0" w:color="D9D2C6"/>
          <w:insideV w:val="single" w:sz="6" w:space="0" w:color="D9D2C6"/>
        </w:tblBorders>
      </w:tblPr>
      <w:tblGrid>
        <w:gridCol w:w="2884"/>
        <w:gridCol w:w="2884"/>
        <w:gridCol w:w="2884"/>
        <w:gridCol w:w="2884"/>
        <w:gridCol w:w="2884"/>
      </w:tblGrid>
      <w:tr>
        <w:trPr>
          <w:tblHeader w:val="true"/>
        </w:trPr>
        <w:tc>
          <w:tcPr>
            <w:tcW w:type="dxa" w:w="2494"/>
            <w:shd w:fill="173A32"/>
            <w:tcMar>
              <w:top w:w="70" w:type="dxa"/>
              <w:start w:w="90" w:type="dxa"/>
              <w:bottom w:w="70" w:type="dxa"/>
              <w:end w:w="90" w:type="dxa"/>
            </w:tcMar>
          </w:tcPr>
          <w:p>
            <w:pPr>
              <w:spacing w:before="0" w:after="0" w:line="240" w:lineRule="auto"/>
            </w:pPr>
            <w:r>
              <w:rPr>
                <w:rFonts w:ascii="Arial" w:hAnsi="Arial"/>
                <w:b/>
                <w:color w:val="FFFFFF"/>
                <w:sz w:val="16"/>
              </w:rPr>
              <w:t>Source task</w:t>
            </w:r>
          </w:p>
        </w:tc>
        <w:tc>
          <w:tcPr>
            <w:tcW w:type="dxa" w:w="1474"/>
            <w:shd w:fill="173A32"/>
            <w:tcMar>
              <w:top w:w="70" w:type="dxa"/>
              <w:start w:w="90" w:type="dxa"/>
              <w:bottom w:w="70" w:type="dxa"/>
              <w:end w:w="90" w:type="dxa"/>
            </w:tcMar>
          </w:tcPr>
          <w:p>
            <w:pPr>
              <w:spacing w:before="0" w:after="0" w:line="240" w:lineRule="auto"/>
            </w:pPr>
            <w:r>
              <w:rPr>
                <w:rFonts w:ascii="Arial" w:hAnsi="Arial"/>
                <w:b/>
                <w:color w:val="FFFFFF"/>
                <w:sz w:val="16"/>
              </w:rPr>
              <w:t>Confirmed weighting</w:t>
            </w:r>
          </w:p>
        </w:tc>
        <w:tc>
          <w:tcPr>
            <w:tcW w:type="dxa" w:w="4422"/>
            <w:shd w:fill="173A32"/>
            <w:tcMar>
              <w:top w:w="70" w:type="dxa"/>
              <w:start w:w="90" w:type="dxa"/>
              <w:bottom w:w="70" w:type="dxa"/>
              <w:end w:w="90" w:type="dxa"/>
            </w:tcMar>
          </w:tcPr>
          <w:p>
            <w:pPr>
              <w:spacing w:before="0" w:after="0" w:line="240" w:lineRule="auto"/>
            </w:pPr>
            <w:r>
              <w:rPr>
                <w:rFonts w:ascii="Arial" w:hAnsi="Arial"/>
                <w:b/>
                <w:color w:val="FFFFFF"/>
                <w:sz w:val="16"/>
              </w:rPr>
              <w:t>Course connection</w:t>
            </w:r>
          </w:p>
        </w:tc>
        <w:tc>
          <w:tcPr>
            <w:tcW w:type="dxa" w:w="4706"/>
            <w:shd w:fill="173A32"/>
            <w:tcMar>
              <w:top w:w="70" w:type="dxa"/>
              <w:start w:w="90" w:type="dxa"/>
              <w:bottom w:w="70" w:type="dxa"/>
              <w:end w:w="90" w:type="dxa"/>
            </w:tcMar>
          </w:tcPr>
          <w:p>
            <w:pPr>
              <w:spacing w:before="0" w:after="0" w:line="240" w:lineRule="auto"/>
            </w:pPr>
            <w:r>
              <w:rPr>
                <w:rFonts w:ascii="Arial" w:hAnsi="Arial"/>
                <w:b/>
                <w:color w:val="FFFFFF"/>
                <w:sz w:val="16"/>
              </w:rPr>
              <w:t>Authority</w:t>
            </w:r>
          </w:p>
        </w:tc>
        <w:tc>
          <w:tcPr>
            <w:tcW w:type="dxa" w:w="1814"/>
            <w:shd w:fill="173A32"/>
            <w:tcMar>
              <w:top w:w="70" w:type="dxa"/>
              <w:start w:w="90" w:type="dxa"/>
              <w:bottom w:w="70" w:type="dxa"/>
              <w:end w:w="90" w:type="dxa"/>
            </w:tcMar>
          </w:tcPr>
          <w:p>
            <w:pPr>
              <w:spacing w:before="0" w:after="0" w:line="240" w:lineRule="auto"/>
            </w:pPr>
            <w:r>
              <w:rPr>
                <w:rFonts w:ascii="Arial" w:hAnsi="Arial"/>
                <w:b/>
                <w:color w:val="FFFFFF"/>
                <w:sz w:val="16"/>
              </w:rPr>
              <w:t>Link</w:t>
            </w:r>
          </w:p>
        </w:tc>
      </w:tr>
      <w:tr>
        <w:trPr>
          <w:cantSplit/>
        </w:trPr>
        <w:tc>
          <w:tcPr>
            <w:tcW w:type="dxa" w:w="2494"/>
            <w:tcMar>
              <w:top w:w="70" w:type="dxa"/>
              <w:start w:w="90" w:type="dxa"/>
              <w:bottom w:w="70" w:type="dxa"/>
              <w:end w:w="90" w:type="dxa"/>
            </w:tcMar>
            <w:shd w:fill="EDF3EF"/>
          </w:tcPr>
          <w:p>
            <w:pPr>
              <w:spacing w:before="0" w:after="0" w:line="240" w:lineRule="auto"/>
            </w:pPr>
            <w:r>
              <w:rPr>
                <w:rFonts w:ascii="Arial" w:hAnsi="Arial"/>
                <w:b/>
                <w:color w:val="18231F"/>
                <w:sz w:val="15"/>
              </w:rPr>
              <w:t>2026 Task 1 - Research Assignment</w:t>
            </w:r>
          </w:p>
        </w:tc>
        <w:tc>
          <w:tcPr>
            <w:tcW w:type="dxa" w:w="1474"/>
            <w:tcMar>
              <w:top w:w="70" w:type="dxa"/>
              <w:start w:w="90" w:type="dxa"/>
              <w:bottom w:w="70" w:type="dxa"/>
              <w:end w:w="90" w:type="dxa"/>
            </w:tcMar>
            <w:shd w:fill="EDF3EF"/>
          </w:tcPr>
          <w:p>
            <w:pPr>
              <w:spacing w:before="0" w:after="0" w:line="240" w:lineRule="auto"/>
            </w:pPr>
            <w:r>
              <w:rPr>
                <w:rFonts w:ascii="Arial" w:hAnsi="Arial"/>
                <w:b w:val="0"/>
                <w:color w:val="18231F"/>
                <w:sz w:val="15"/>
              </w:rPr>
              <w:t>35%</w:t>
            </w:r>
          </w:p>
        </w:tc>
        <w:tc>
          <w:tcPr>
            <w:tcW w:type="dxa" w:w="4422"/>
            <w:tcMar>
              <w:top w:w="70" w:type="dxa"/>
              <w:start w:w="90" w:type="dxa"/>
              <w:bottom w:w="70" w:type="dxa"/>
              <w:end w:w="90" w:type="dxa"/>
            </w:tcMar>
            <w:shd w:fill="EDF3EF"/>
          </w:tcPr>
          <w:p>
            <w:pPr>
              <w:spacing w:before="0" w:after="0" w:line="240" w:lineRule="auto"/>
            </w:pPr>
            <w:r>
              <w:rPr>
                <w:rFonts w:ascii="Arial" w:hAnsi="Arial"/>
                <w:b w:val="0"/>
                <w:color w:val="18231F"/>
                <w:sz w:val="15"/>
              </w:rPr>
              <w:t>Modules 1-5: professions, settings, impacts, research and communication</w:t>
            </w:r>
          </w:p>
        </w:tc>
        <w:tc>
          <w:tcPr>
            <w:tcW w:type="dxa" w:w="4706"/>
            <w:tcMar>
              <w:top w:w="70" w:type="dxa"/>
              <w:start w:w="90" w:type="dxa"/>
              <w:bottom w:w="70" w:type="dxa"/>
              <w:end w:w="90" w:type="dxa"/>
            </w:tcMar>
            <w:shd w:fill="EDF3EF"/>
          </w:tcPr>
          <w:p>
            <w:pPr>
              <w:spacing w:before="0" w:after="0" w:line="240" w:lineRule="auto"/>
            </w:pPr>
            <w:r>
              <w:rPr>
                <w:rFonts w:ascii="Arial" w:hAnsi="Arial"/>
                <w:b w:val="0"/>
                <w:color w:val="18231F"/>
                <w:sz w:val="15"/>
              </w:rPr>
              <w:t>Current school task notice and teacher instructions</w:t>
            </w:r>
          </w:p>
        </w:tc>
        <w:tc>
          <w:tcPr>
            <w:tcW w:type="dxa" w:w="1814"/>
            <w:tcMar>
              <w:top w:w="70" w:type="dxa"/>
              <w:start w:w="90" w:type="dxa"/>
              <w:bottom w:w="70" w:type="dxa"/>
              <w:end w:w="90" w:type="dxa"/>
            </w:tcMar>
            <w:shd w:fill="EDF3EF"/>
          </w:tcPr>
          <w:p>
            <w:hyperlink r:id="rId12">
              <w:r>
                <w:rPr>
                  <w:color w:val="173A32"/>
                  <w:u w:val="single"/>
                </w:rPr>
                <w:t>Open source</w:t>
              </w:r>
            </w:hyperlink>
          </w:p>
        </w:tc>
      </w:tr>
      <w:tr>
        <w:trPr>
          <w:cantSplit/>
        </w:trPr>
        <w:tc>
          <w:tcPr>
            <w:tcW w:type="dxa" w:w="2494"/>
            <w:tcMar>
              <w:top w:w="70" w:type="dxa"/>
              <w:start w:w="90" w:type="dxa"/>
              <w:bottom w:w="70" w:type="dxa"/>
              <w:end w:w="90" w:type="dxa"/>
            </w:tcMar>
            <w:shd w:fill="FFFFFF"/>
          </w:tcPr>
          <w:p>
            <w:pPr>
              <w:spacing w:before="0" w:after="0" w:line="240" w:lineRule="auto"/>
            </w:pPr>
            <w:r>
              <w:rPr>
                <w:rFonts w:ascii="Arial" w:hAnsi="Arial"/>
                <w:b/>
                <w:color w:val="18231F"/>
                <w:sz w:val="15"/>
              </w:rPr>
              <w:t>Kitchen Companion</w:t>
            </w:r>
          </w:p>
        </w:tc>
        <w:tc>
          <w:tcPr>
            <w:tcW w:type="dxa" w:w="1474"/>
            <w:tcMar>
              <w:top w:w="70" w:type="dxa"/>
              <w:start w:w="90" w:type="dxa"/>
              <w:bottom w:w="70" w:type="dxa"/>
              <w:end w:w="90" w:type="dxa"/>
            </w:tcMar>
            <w:shd w:fill="FFFFFF"/>
          </w:tcPr>
          <w:p>
            <w:pPr>
              <w:spacing w:before="0" w:after="0" w:line="240" w:lineRule="auto"/>
            </w:pPr>
            <w:r>
              <w:rPr>
                <w:rFonts w:ascii="Arial" w:hAnsi="Arial"/>
                <w:b w:val="0"/>
                <w:color w:val="18231F"/>
                <w:sz w:val="15"/>
              </w:rPr>
              <w:t>Course project; no formal weighting established by the source used</w:t>
            </w:r>
          </w:p>
        </w:tc>
        <w:tc>
          <w:tcPr>
            <w:tcW w:type="dxa" w:w="4422"/>
            <w:tcMar>
              <w:top w:w="70" w:type="dxa"/>
              <w:start w:w="90" w:type="dxa"/>
              <w:bottom w:w="70" w:type="dxa"/>
              <w:end w:w="90" w:type="dxa"/>
            </w:tcMar>
            <w:shd w:fill="FFFFFF"/>
          </w:tcPr>
          <w:p>
            <w:pPr>
              <w:spacing w:before="0" w:after="0" w:line="240" w:lineRule="auto"/>
            </w:pPr>
            <w:r>
              <w:rPr>
                <w:rFonts w:ascii="Arial" w:hAnsi="Arial"/>
                <w:b w:val="0"/>
                <w:color w:val="18231F"/>
                <w:sz w:val="15"/>
              </w:rPr>
              <w:t>Modules 6-10: collaboration, CAD, tolerance, prototyping and evaluation</w:t>
            </w:r>
          </w:p>
        </w:tc>
        <w:tc>
          <w:tcPr>
            <w:tcW w:type="dxa" w:w="4706"/>
            <w:tcMar>
              <w:top w:w="70" w:type="dxa"/>
              <w:start w:w="90" w:type="dxa"/>
              <w:bottom w:w="70" w:type="dxa"/>
              <w:end w:w="90" w:type="dxa"/>
            </w:tcMar>
            <w:shd w:fill="FFFFFF"/>
          </w:tcPr>
          <w:p>
            <w:pPr>
              <w:spacing w:before="0" w:after="0" w:line="240" w:lineRule="auto"/>
            </w:pPr>
            <w:r>
              <w:rPr>
                <w:rFonts w:ascii="Arial" w:hAnsi="Arial"/>
                <w:b w:val="0"/>
                <w:color w:val="18231F"/>
                <w:sz w:val="15"/>
              </w:rPr>
              <w:t>Teacher-approved project brief</w:t>
            </w:r>
          </w:p>
        </w:tc>
        <w:tc>
          <w:tcPr>
            <w:tcW w:type="dxa" w:w="1814"/>
            <w:tcMar>
              <w:top w:w="70" w:type="dxa"/>
              <w:start w:w="90" w:type="dxa"/>
              <w:bottom w:w="70" w:type="dxa"/>
              <w:end w:w="90" w:type="dxa"/>
            </w:tcMar>
            <w:shd w:fill="FFFFFF"/>
          </w:tcPr>
          <w:p>
            <w:hyperlink r:id="rId13">
              <w:r>
                <w:rPr>
                  <w:color w:val="173A32"/>
                  <w:u w:val="single"/>
                </w:rPr>
                <w:t>Open source</w:t>
              </w:r>
            </w:hyperlink>
          </w:p>
        </w:tc>
      </w:tr>
      <w:tr>
        <w:trPr>
          <w:cantSplit/>
        </w:trPr>
        <w:tc>
          <w:tcPr>
            <w:tcW w:type="dxa" w:w="2494"/>
            <w:tcMar>
              <w:top w:w="70" w:type="dxa"/>
              <w:start w:w="90" w:type="dxa"/>
              <w:bottom w:w="70" w:type="dxa"/>
              <w:end w:w="90" w:type="dxa"/>
            </w:tcMar>
            <w:shd w:fill="EDF3EF"/>
          </w:tcPr>
          <w:p>
            <w:pPr>
              <w:spacing w:before="0" w:after="0" w:line="240" w:lineRule="auto"/>
            </w:pPr>
            <w:r>
              <w:rPr>
                <w:rFonts w:ascii="Arial" w:hAnsi="Arial"/>
                <w:b/>
                <w:color w:val="18231F"/>
                <w:sz w:val="15"/>
              </w:rPr>
              <w:t>2026 Task 2 - Camping Environment</w:t>
            </w:r>
          </w:p>
        </w:tc>
        <w:tc>
          <w:tcPr>
            <w:tcW w:type="dxa" w:w="1474"/>
            <w:tcMar>
              <w:top w:w="70" w:type="dxa"/>
              <w:start w:w="90" w:type="dxa"/>
              <w:bottom w:w="70" w:type="dxa"/>
              <w:end w:w="90" w:type="dxa"/>
            </w:tcMar>
            <w:shd w:fill="EDF3EF"/>
          </w:tcPr>
          <w:p>
            <w:pPr>
              <w:spacing w:before="0" w:after="0" w:line="240" w:lineRule="auto"/>
            </w:pPr>
            <w:r>
              <w:rPr>
                <w:rFonts w:ascii="Arial" w:hAnsi="Arial"/>
                <w:b w:val="0"/>
                <w:color w:val="18231F"/>
                <w:sz w:val="15"/>
              </w:rPr>
              <w:t>40%</w:t>
            </w:r>
          </w:p>
        </w:tc>
        <w:tc>
          <w:tcPr>
            <w:tcW w:type="dxa" w:w="4422"/>
            <w:tcMar>
              <w:top w:w="70" w:type="dxa"/>
              <w:start w:w="90" w:type="dxa"/>
              <w:bottom w:w="70" w:type="dxa"/>
              <w:end w:w="90" w:type="dxa"/>
            </w:tcMar>
            <w:shd w:fill="EDF3EF"/>
          </w:tcPr>
          <w:p>
            <w:pPr>
              <w:spacing w:before="0" w:after="0" w:line="240" w:lineRule="auto"/>
            </w:pPr>
            <w:r>
              <w:rPr>
                <w:rFonts w:ascii="Arial" w:hAnsi="Arial"/>
                <w:b w:val="0"/>
                <w:color w:val="18231F"/>
                <w:sz w:val="15"/>
              </w:rPr>
              <w:t>Modules 11-14: need, project management, production, evaluation and marketing</w:t>
            </w:r>
          </w:p>
        </w:tc>
        <w:tc>
          <w:tcPr>
            <w:tcW w:type="dxa" w:w="4706"/>
            <w:tcMar>
              <w:top w:w="70" w:type="dxa"/>
              <w:start w:w="90" w:type="dxa"/>
              <w:bottom w:w="70" w:type="dxa"/>
              <w:end w:w="90" w:type="dxa"/>
            </w:tcMar>
            <w:shd w:fill="EDF3EF"/>
          </w:tcPr>
          <w:p>
            <w:pPr>
              <w:spacing w:before="0" w:after="0" w:line="240" w:lineRule="auto"/>
            </w:pPr>
            <w:r>
              <w:rPr>
                <w:rFonts w:ascii="Arial" w:hAnsi="Arial"/>
                <w:b w:val="0"/>
                <w:color w:val="18231F"/>
                <w:sz w:val="15"/>
              </w:rPr>
              <w:t>Current school task notice and teacher instructions</w:t>
            </w:r>
          </w:p>
        </w:tc>
        <w:tc>
          <w:tcPr>
            <w:tcW w:type="dxa" w:w="1814"/>
            <w:tcMar>
              <w:top w:w="70" w:type="dxa"/>
              <w:start w:w="90" w:type="dxa"/>
              <w:bottom w:w="70" w:type="dxa"/>
              <w:end w:w="90" w:type="dxa"/>
            </w:tcMar>
            <w:shd w:fill="EDF3EF"/>
          </w:tcPr>
          <w:p>
            <w:hyperlink r:id="rId14">
              <w:r>
                <w:rPr>
                  <w:color w:val="173A32"/>
                  <w:u w:val="single"/>
                </w:rPr>
                <w:t>Open source</w:t>
              </w:r>
            </w:hyperlink>
          </w:p>
        </w:tc>
      </w:tr>
      <w:tr>
        <w:trPr>
          <w:cantSplit/>
        </w:trPr>
        <w:tc>
          <w:tcPr>
            <w:tcW w:type="dxa" w:w="2494"/>
            <w:tcMar>
              <w:top w:w="70" w:type="dxa"/>
              <w:start w:w="90" w:type="dxa"/>
              <w:bottom w:w="70" w:type="dxa"/>
              <w:end w:w="90" w:type="dxa"/>
            </w:tcMar>
            <w:shd w:fill="FFFFFF"/>
          </w:tcPr>
          <w:p>
            <w:pPr>
              <w:spacing w:before="0" w:after="0" w:line="240" w:lineRule="auto"/>
            </w:pPr>
            <w:r>
              <w:rPr>
                <w:rFonts w:ascii="Arial" w:hAnsi="Arial"/>
                <w:b/>
                <w:color w:val="18231F"/>
                <w:sz w:val="15"/>
              </w:rPr>
              <w:t>Remaining formal assessment</w:t>
            </w:r>
          </w:p>
        </w:tc>
        <w:tc>
          <w:tcPr>
            <w:tcW w:type="dxa" w:w="1474"/>
            <w:tcMar>
              <w:top w:w="70" w:type="dxa"/>
              <w:start w:w="90" w:type="dxa"/>
              <w:bottom w:w="70" w:type="dxa"/>
              <w:end w:w="90" w:type="dxa"/>
            </w:tcMar>
            <w:shd w:fill="FFFFFF"/>
          </w:tcPr>
          <w:p>
            <w:pPr>
              <w:spacing w:before="0" w:after="0" w:line="240" w:lineRule="auto"/>
            </w:pPr>
            <w:r>
              <w:rPr>
                <w:rFonts w:ascii="Arial" w:hAnsi="Arial"/>
                <w:b w:val="0"/>
                <w:color w:val="18231F"/>
                <w:sz w:val="15"/>
              </w:rPr>
              <w:t>Not established from readable supplied sources</w:t>
            </w:r>
          </w:p>
        </w:tc>
        <w:tc>
          <w:tcPr>
            <w:tcW w:type="dxa" w:w="4422"/>
            <w:tcMar>
              <w:top w:w="70" w:type="dxa"/>
              <w:start w:w="90" w:type="dxa"/>
              <w:bottom w:w="70" w:type="dxa"/>
              <w:end w:w="90" w:type="dxa"/>
            </w:tcMar>
            <w:shd w:fill="FFFFFF"/>
          </w:tcPr>
          <w:p>
            <w:pPr>
              <w:spacing w:before="0" w:after="0" w:line="240" w:lineRule="auto"/>
            </w:pPr>
            <w:r>
              <w:rPr>
                <w:rFonts w:ascii="Arial" w:hAnsi="Arial"/>
                <w:b w:val="0"/>
                <w:color w:val="18231F"/>
                <w:sz w:val="15"/>
              </w:rPr>
              <w:t>Module 15 and teacher-selected course revision</w:t>
            </w:r>
          </w:p>
        </w:tc>
        <w:tc>
          <w:tcPr>
            <w:tcW w:type="dxa" w:w="4706"/>
            <w:tcMar>
              <w:top w:w="70" w:type="dxa"/>
              <w:start w:w="90" w:type="dxa"/>
              <w:bottom w:w="70" w:type="dxa"/>
              <w:end w:w="90" w:type="dxa"/>
            </w:tcMar>
            <w:shd w:fill="FFFFFF"/>
          </w:tcPr>
          <w:p>
            <w:pPr>
              <w:spacing w:before="0" w:after="0" w:line="240" w:lineRule="auto"/>
            </w:pPr>
            <w:r>
              <w:rPr>
                <w:rFonts w:ascii="Arial" w:hAnsi="Arial"/>
                <w:b w:val="0"/>
                <w:color w:val="18231F"/>
                <w:sz w:val="15"/>
              </w:rPr>
              <w:t>Current school assessment schedule</w:t>
            </w:r>
          </w:p>
        </w:tc>
        <w:tc>
          <w:tcPr>
            <w:tcW w:type="dxa" w:w="1814"/>
            <w:tcMar>
              <w:top w:w="70" w:type="dxa"/>
              <w:start w:w="90" w:type="dxa"/>
              <w:bottom w:w="70" w:type="dxa"/>
              <w:end w:w="90" w:type="dxa"/>
            </w:tcMar>
            <w:shd w:fill="FFFFFF"/>
          </w:tcPr>
          <w:p>
            <w:hyperlink r:id="rId15">
              <w:r>
                <w:rPr>
                  <w:color w:val="173A32"/>
                  <w:u w:val="single"/>
                </w:rPr>
                <w:t>Open source</w:t>
              </w:r>
            </w:hyperlink>
          </w:p>
        </w:tc>
      </w:tr>
    </w:tbl>
    <w:p>
      <w:pPr>
        <w:spacing w:before="80" w:after="100" w:line="240" w:lineRule="auto"/>
      </w:pPr>
      <w:r>
        <w:rPr>
          <w:rFonts w:ascii="Arial" w:hAnsi="Arial"/>
          <w:b/>
          <w:color w:val="B65F49"/>
          <w:sz w:val="16"/>
        </w:rPr>
        <w:t>The two supplied formal notices account for 75 percentage points. Do not assume the remaining assessment type, timing or weighting without the current school schedule.</w:t>
      </w:r>
    </w:p>
    <w:p>
      <w:r>
        <w:br w:type="page"/>
      </w:r>
    </w:p>
    <w:p>
      <w:pPr>
        <w:pStyle w:val="Title"/>
        <w:spacing w:before="0" w:after="40" w:line="240" w:lineRule="auto"/>
      </w:pPr>
      <w:r>
        <w:rPr>
          <w:rFonts w:ascii="Arial" w:hAnsi="Arial"/>
          <w:b/>
          <w:color w:val="10251F"/>
          <w:sz w:val="48"/>
        </w:rPr>
        <w:t>Year 11 blocks 1-60</w:t>
      </w:r>
    </w:p>
    <w:p>
      <w:pPr>
        <w:spacing w:before="0" w:after="160" w:line="240" w:lineRule="auto"/>
      </w:pPr>
      <w:r>
        <w:rPr>
          <w:rFonts w:ascii="Arial" w:hAnsi="Arial"/>
          <w:b w:val="0"/>
          <w:color w:val="5C6963"/>
          <w:sz w:val="18"/>
        </w:rPr>
        <w:t>Equivalent blocks are planning units. Map them to the local timetable and adjust without reducing syllabus or project requirements.</w:t>
      </w:r>
    </w:p>
    <w:p>
      <w:pPr>
        <w:pStyle w:val="Heading1"/>
        <w:spacing w:before="0" w:after="100" w:line="240" w:lineRule="auto"/>
      </w:pPr>
      <w:r>
        <w:rPr>
          <w:rFonts w:ascii="Arial" w:hAnsi="Arial"/>
          <w:b/>
          <w:color w:val="173A32"/>
          <w:sz w:val="32"/>
        </w:rPr>
        <w:t>Blocks 1-6</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1</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What Design and Technology studies / Design professions and design practice</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what design and technology studies with design professions and design practice.</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Understand the course, the work of designers and the adaptable processes used to move from a need to an evaluated solution. Key terms: designing, producing, design profession, client.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P1.1, P2.1.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2</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Design processes across contexts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Design processes are adaptable rather than rigid. Designers may move backwards, repeat tests or work on several stages at once. The scale, people, resources, risk and purpose of a setting change how the process is managed, but the need for evidence and evaluation remains.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P1.1, P2.1.</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3</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Create a design-profession map and compare how two designers move from client need to final presentation.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design and technology foundations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P1.1, P2.1.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4</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Research Assignment launch</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Launch the Research Assignment: unpack the supplied task notice, confirm permitted format and create a research plan without drafting content for students.</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P1.1, P2.1.</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5</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Needs, function and appropriateness / Aesthetics, ergonomics and quality</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needs, function and appropriateness with aesthetics, ergonomics and quality.</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Analyse how needs, function, aesthetics, ergonomics, finance, quality, safety and environmental consequences interact. Key terms: need, function, aesthetics, ergonomics.</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P1.1, P2.2.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6</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Finance, WHS, environment and product life</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Design decisions create costs and consequences across production, use and end-of-life. Finance includes development, material, production, maintenance and selling considerations. Work health and safety requires hazards to be controlled. Environmental thinking examines short- and long-term effects, including obsolescence and the product life cycle.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P1.1, P2.2, P4.2.</w:t>
            </w:r>
          </w:p>
        </w:tc>
      </w:tr>
    </w:tbl>
    <w:p>
      <w:r>
        <w:br w:type="page"/>
      </w:r>
    </w:p>
    <w:p>
      <w:pPr>
        <w:pStyle w:val="Heading1"/>
        <w:spacing w:before="0" w:after="100" w:line="240" w:lineRule="auto"/>
      </w:pPr>
      <w:r>
        <w:rPr>
          <w:rFonts w:ascii="Arial" w:hAnsi="Arial"/>
          <w:b/>
          <w:color w:val="173A32"/>
          <w:sz w:val="32"/>
        </w:rPr>
        <w:t>Blocks 7-12</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7</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Complete a product success-and-failure audit that identifies evidence, trade-offs and consequences.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factors affecting design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P1.1, P2.2.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8</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Research Assignment</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Analyse a familiar product through interacting design factors and prepare a source-backed designer case-study paragraph.</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P1.1, P2.2.</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9</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Primary and secondary research / Qualitative and quantitative data</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primary and secondary research with qualitative and quantitative data.</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Use varied, ethical and fit-for-purpose research to establish needs, build criteria and modify ideas. Key terms: primary research, secondary research, qualitative data, quantitative data.</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P5.3, P5.2.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10</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Ethical research and evidence synthesis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Design research involving people requires informed consent, privacy, voluntary participation and honest reporting. Evidence synthesis means comparing findings across sources and methods, resolving contradictions where possible and stating uncertainty where evidence remains limited.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P5.3, P5.2.</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11</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Prepare a research plan that combines methods, identifies participants and shows how findings will affect decisions.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research that informs design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P5.3, P5.2.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12</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Research Assignment</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Collect and ethically analyse a small set of user or market data relevant to the Research Assignment.</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P5.3, P5.2.</w:t>
            </w:r>
          </w:p>
        </w:tc>
      </w:tr>
    </w:tbl>
    <w:p>
      <w:r>
        <w:br w:type="page"/>
      </w:r>
    </w:p>
    <w:p>
      <w:pPr>
        <w:pStyle w:val="Heading1"/>
        <w:spacing w:before="0" w:after="100" w:line="240" w:lineRule="auto"/>
      </w:pPr>
      <w:r>
        <w:rPr>
          <w:rFonts w:ascii="Arial" w:hAnsi="Arial"/>
          <w:b/>
          <w:color w:val="173A32"/>
          <w:sz w:val="32"/>
        </w:rPr>
        <w:t>Blocks 13-18</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13</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Domestic, community, industrial and commercial settings / Technologies in industrial and commercial settings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domestic, community, industrial and commercial settings with technologies in industrial and commercial settings.</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Relate school design projects to domestic, community, industrial and commercial practices and technologies. Key terms: domestic, community, technology, CAD.</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P2.1, P2.2, P6.1.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14</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Impacts on individuals, society and the environment</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Design activity affects more than the purchaser. It may change safety, access, work, skills, behaviour, communities, resource use and waste. Strong analysis identifies who or what is affected, explains the mechanism and considers both intended and unintended consequences.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P2.2.</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15</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Compare one school production process with a domestic and an industrial/commercial process.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design and production settings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P2.1, P2.2, P6.1.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16</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Research Assignment</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Compare one school-scale process with domestic, community and industrial/commercial practice using clear limitations.</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P2.1, P2.2, P6.1.</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17</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Communication methods and audience / Command verbs and evidence-based responses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communication methods and audience with command verbs and evidence-based responses.</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Choose communication methods for purpose and audience, use command verbs accurately and complete the Research Assignment with evidence. Key terms: audience, annotation, command verb, justify.</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P5.2, P5.3, P1.1, P2.2.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18</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Research Assignment synthesis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 authorised Research Assignment asks students to explain Design and Technology fields, examine a specific design profession and Australian designer, identify management, tools, technology and education, and explain the impact of an invention on individuals, society and the environment. The presentation should be coherent rather than a set of disconnected facts.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P1.1, P2.1, P2.2, P5.2, P5.3, P6.2.</w:t>
            </w:r>
          </w:p>
        </w:tc>
      </w:tr>
    </w:tbl>
    <w:p>
      <w:r>
        <w:br w:type="page"/>
      </w:r>
    </w:p>
    <w:p>
      <w:pPr>
        <w:pStyle w:val="Heading1"/>
        <w:spacing w:before="0" w:after="100" w:line="240" w:lineRule="auto"/>
      </w:pPr>
      <w:r>
        <w:rPr>
          <w:rFonts w:ascii="Arial" w:hAnsi="Arial"/>
          <w:b/>
          <w:color w:val="173A32"/>
          <w:sz w:val="32"/>
        </w:rPr>
        <w:t>Blocks 19-24</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19</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Rehearse and improve a parent-night presentation using source evidence, audience needs and command-verb accuracy.</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communicating research and design knowledge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P5.2, P5.3, P1.1, P2.2.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20</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Research Assignment completion</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Produce and refine the Research Assignment presentation; use current notice, teacher checkpoints and references as authority.</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P5.2, P5.3, P1.1, P2.2.</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21</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Idea-generation techniques / Six Thinking Hats and collaboration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idea-generation techniques with six thinking hats and collaboration.</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Generate alternatives, use cognitive organisers deliberately and collaborate through clear roles and evidence. Key terms: brainstorming, SCAMPER, parallel thinking, White Hat.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P3.1, P5.2.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22</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Selecting and justifying concepts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Concept selection should not be a popularity contest or a defence of the first idea. Designers establish criteria and constraints, compare alternatives, identify trade-offs, combine useful features and explain why the selected direction offers the strongest fit for the need and context.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P3.1, P4.1, P4.3.</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23</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Run and document a Six Thinking Hats session that produces several feasible Kitchen Companion directions.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creativity and collaborative design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P3.1, P5.2.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24</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Kitchen Companion</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Run the Kitchen Companion Six Thinking Hats process and select a shared problem for investigation.</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P3.1, P5.2.</w:t>
            </w:r>
          </w:p>
        </w:tc>
      </w:tr>
    </w:tbl>
    <w:p>
      <w:r>
        <w:br w:type="page"/>
      </w:r>
    </w:p>
    <w:p>
      <w:pPr>
        <w:pStyle w:val="Heading1"/>
        <w:spacing w:before="0" w:after="100" w:line="240" w:lineRule="auto"/>
      </w:pPr>
      <w:r>
        <w:rPr>
          <w:rFonts w:ascii="Arial" w:hAnsi="Arial"/>
          <w:b/>
          <w:color w:val="173A32"/>
          <w:sz w:val="32"/>
        </w:rPr>
        <w:t>Blocks 25-30</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25</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Design situation, brief and constraints / Target market, equity and accessibility</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design situation, brief and constraints with target market, equity and accessibility.</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Translate evidence about users and contexts into a clear brief, practical boundaries and criteria that guide testing. Key terms: design situation, design brief, target market, accessibility.</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P4.1, P4.3, P5.3.</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26</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Criteria to evaluate success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Criteria to evaluate success convert the need, research and brief into standards that can guide decisions and testing. Strong criteria are specific, relevant and supported. Some can be measured numerically; others need structured user or expert judgement.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P4.1, P4.3, P5.1.</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27</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Build a user-needs, constraints and criteria matrix for the Kitchen Companion design.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briefs, users and criteria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P4.1, P4.3, P5.3.</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28</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Kitchen Companion</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Develop the Kitchen Companion brief, criteria and user profile; create initial soft prototypes.</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P4.1, P4.3, P5.3.</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29</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Freehand sketching and annotation / Isometric, oblique and orthogonal drawing</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freehand sketching and annotation with isometric, oblique and orthogonal drawing.</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Use freehand, pictorial, orthogonal and digital communication to develop and explain ideas. Key terms: construction line, annotation, isometric, oblique.</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P5.2, P6.2.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30</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Models, presentations and folio communication</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Different communication methods reveal different information. A rough model can test scale or interaction. A CAD model can communicate geometry and support manufacture. A presentation can explain reasoning to an audience. A folio should connect these artefacts into an evidence trail.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P5.2, P6.2.</w:t>
            </w:r>
          </w:p>
        </w:tc>
      </w:tr>
    </w:tbl>
    <w:p>
      <w:r>
        <w:br w:type="page"/>
      </w:r>
    </w:p>
    <w:p>
      <w:pPr>
        <w:pStyle w:val="Heading1"/>
        <w:spacing w:before="0" w:after="100" w:line="240" w:lineRule="auto"/>
      </w:pPr>
      <w:r>
        <w:rPr>
          <w:rFonts w:ascii="Arial" w:hAnsi="Arial"/>
          <w:b/>
          <w:color w:val="173A32"/>
          <w:sz w:val="32"/>
        </w:rPr>
        <w:t>Blocks 31-36</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31</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Produce an annotated concept sheet containing a freehand idea, a pictorial view and essential working information.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graphical and design communication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P5.2, P6.2.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32</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Kitchen Companion / Camping launch</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Produce annotated concepts and technical drawings suited to communication and manufacture.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P5.2, P6.2.</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33</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CAD modelling and design intent / Rapid prototyping and 3D printing</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cad modelling and design intent with rapid prototyping and 3d printing.</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Build controlled digital models, transfer information to production and use rapid prototypes to test assumptions. Key terms: design intent, constraint, rapid prototyping, slicing.</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P6.2, P4.1, P4.2.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34</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Tolerance, fit and the Kitchen Companion</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Tolerance describes allowable variation from a specified size. Clearance is the intentional gap between mating parts. The Kitchen Companion brief nominates a 0.2 mm tolerance for moving parts, but the authorised value still needs to be interpreted and tested using the actual printer, material, orientation and geometry.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P4.1, P4.2, P4.3, P6.2.</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35</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Create and document a 0.2 mm tolerance test before committing the Kitchen Companion final print.</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cad and rapid prototyping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P6.2, P4.1, P4.2.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36</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Kitchen Companion</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Develop CAD models and run 0.2 mm tolerance test prints for moving or fitted parts where relevant.</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P6.2, P4.1, P4.2.</w:t>
            </w:r>
          </w:p>
        </w:tc>
      </w:tr>
    </w:tbl>
    <w:p>
      <w:r>
        <w:br w:type="page"/>
      </w:r>
    </w:p>
    <w:p>
      <w:pPr>
        <w:pStyle w:val="Heading1"/>
        <w:spacing w:before="0" w:after="100" w:line="240" w:lineRule="auto"/>
      </w:pPr>
      <w:r>
        <w:rPr>
          <w:rFonts w:ascii="Arial" w:hAnsi="Arial"/>
          <w:b/>
          <w:color w:val="173A32"/>
          <w:sz w:val="32"/>
        </w:rPr>
        <w:t>Blocks 37-42</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37</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Material selection and evidence / Manufacturing processes and scale</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material selection and evidence with manufacturing processes and scale.</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Select resources through evidence, plan fair tests and use evaluation to refine prototypes before final production. Key terms: property, workability, manufacturing process, jig.</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P4.2, P4.3, P6.1.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38</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Prototype testing and continual evaluation</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A prototype is valuable because it reduces uncertainty. Tests should correspond to criteria and control relevant variables. User feedback can reveal comfort, understanding and preference, while performance tests can measure function, strength, stability, durability or accuracy. Evaluation continues as evidence is collected.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P4.3, P5.3.</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39</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Complete one controlled material or feature test and document the decision it changes.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testing, materials and evaluation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P4.2, P4.3, P6.1.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40</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Kitchen Companion completion / Camping launch</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Test materials, prototypes and function; interpret results and modify the Kitchen Companion design.</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P4.2, P4.3, P6.1.</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41</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Identifying a genuine camping need / From situation to design brief</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identifying a genuine camping need with from situation to design brief.</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Identify a genuine camping need and convert evidence, constraints and project criteria into a feasible compact product direction. Key terms: identified need, target market, design situation, design brief.</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P1.1, P4.1, P5.3.</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42</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Camping proposal and degree of difference</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A proposal explains the direction the project will explore and why it deserves development. Its degree of difference is the meaningful improvement or distinction from existing products. Difference has value only when it better addresses the identified need, not when novelty is added for its own sake.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P4.1, P5.3.</w:t>
            </w:r>
          </w:p>
        </w:tc>
      </w:tr>
    </w:tbl>
    <w:p>
      <w:r>
        <w:br w:type="page"/>
      </w:r>
    </w:p>
    <w:p>
      <w:pPr>
        <w:pStyle w:val="Heading1"/>
        <w:spacing w:before="0" w:after="100" w:line="240" w:lineRule="auto"/>
      </w:pPr>
      <w:r>
        <w:rPr>
          <w:rFonts w:ascii="Arial" w:hAnsi="Arial"/>
          <w:b/>
          <w:color w:val="173A32"/>
          <w:sz w:val="32"/>
        </w:rPr>
        <w:t>Blocks 43-48</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43</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Investigate a camping problem, define a target market and develop a justified proposal using current task requirements.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camping design project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P1.1, P4.1, P5.3.</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44</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Camping Environment - need and proposal</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Launch the Camping Environment task: identify and justify a genuine need, target market and feasible proposal.</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P1.1, P4.1, P5.3.</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45</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Action plans, time plans and milestones / Finance and resource management</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action plans, time plans and milestones with finance and resource management.</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Use action, time, finance, resource and WHS planning as active decision tools during project development and production. Key terms: action plan, time plan, finance plan, unit cost.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P4.2, P5.1.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46</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WHS, risk controls and production readiness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WHS involves more than wearing personal protective equipment. The designer and producer should identify hazards in materials, tools, processes and the work environment, assess risk, use the strongest reasonably practicable controls and follow current school procedures and training.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P4.2, P5.1.</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47</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Construct an integrated action, time, finance, resource and risk plan for the camping project, then update it after a simulated disruption.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project management and safe production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P4.2, P5.1.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48</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Camping Environment - management and production readiness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Finalise action, time, finance, resource and WHS plans before production; confirm teacher approvals.</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P4.2, P5.1.</w:t>
            </w:r>
          </w:p>
        </w:tc>
      </w:tr>
    </w:tbl>
    <w:p>
      <w:r>
        <w:br w:type="page"/>
      </w:r>
    </w:p>
    <w:p>
      <w:pPr>
        <w:pStyle w:val="Heading1"/>
        <w:spacing w:before="0" w:after="100" w:line="240" w:lineRule="auto"/>
      </w:pPr>
      <w:r>
        <w:rPr>
          <w:rFonts w:ascii="Arial" w:hAnsi="Arial"/>
          <w:b/>
          <w:color w:val="173A32"/>
          <w:sz w:val="32"/>
        </w:rPr>
        <w:t>Blocks 49-54</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49</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Production sequence and quality assurance / Industrial and commercial production links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production sequence and quality assurance with industrial and commercial production links.</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Plan and document a controlled production sequence that links workshop decisions to industrial and commercial practice. Key terms: production sequence, quality assurance, industrial setting, commercial setting.</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P4.2, P6.1.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50</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Recording practical skills and production decisions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Production evidence should allow another person to understand what was done, why it was done, what result was observed and what followed. Photographs are useful only when selected and captioned to show a decision, process, quality issue, modification or skill.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P4.2, P5.2.</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51</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Develop a production plan with process trials, quality checkpoints, evidence captions and an industrial/commercial comparison.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manufacturing, quality and production evidence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P4.2, P6.1.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52</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Camping Environment - production and quality</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Produce the camping solution with planned quality checkpoints and concise work-in-progress evidence.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P4.2, P6.1.</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53</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Ongoing and final evaluation / Marketing and commercial viability</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ongoing and final evaluation with marketing and commercial viability.</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Evaluate the completed solution and communicate a credible market position using evidence rather than unsupported claims. Key terms: final evaluation, limitation, marketing mix, commercial viability.</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P2.2, P4.3, P5.2.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54</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Life-cycle thinking and responsible design claims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A product’s impact is distributed across raw-material extraction, processing, manufacture, transport, use, maintenance and end-of-life. Designers should avoid treating one recycled component or low-waste process as proof that the whole product is sustainable. Claims need scope, evidence and acknowledgement of trade-offs.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P2.2, P4.3.</w:t>
            </w:r>
          </w:p>
        </w:tc>
      </w:tr>
    </w:tbl>
    <w:p>
      <w:r>
        <w:br w:type="page"/>
      </w:r>
    </w:p>
    <w:p>
      <w:pPr>
        <w:pStyle w:val="Heading1"/>
        <w:spacing w:before="0" w:after="100" w:line="240" w:lineRule="auto"/>
      </w:pPr>
      <w:r>
        <w:rPr>
          <w:rFonts w:ascii="Arial" w:hAnsi="Arial"/>
          <w:b/>
          <w:color w:val="173A32"/>
          <w:sz w:val="32"/>
        </w:rPr>
        <w:t>Blocks 55-60</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55</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Complete a criteria-based evaluation, life-cycle review and qualified marketing proposal for the camping product.</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marketing, sustainability and final evaluation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P2.2, P4.3, P5.2.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56</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Camping Environment - evaluation and communication</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Complete criteria-based testing, final evaluation, life-cycle review and a qualified marketing proposal.</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P2.2, P4.3, P5.2.</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57</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Connecting the Preliminary course / Responding to command verbs and stimuli</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connecting the preliminary course with responding to command verbs and stimuli.</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Integrate Preliminary knowledge, practise evidence-rich responses and carry disciplined project habits into the HSC course. Key terms: synthesis, trade-off, command verb, stimulus.</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P1.1, P4.3, P5.2.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58</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Readiness for the HSC course and Major Design Project</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 HSC course applies and synthesises Preliminary learning through innovation study and the Major Design Project. Year 11 does not require students to preselect an MDP. It should build reliable habits: identifying a genuine need, using ethical research, managing scope, testing risk early, documenting decisions and evaluating honestly.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P4.3, P5.1, P5.3.</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59</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Complete a course audit, extended-response practice and MDP-readiness reflection based on evidence from the year.</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preliminary synthesis and year 12 bridge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P1.1, P4.3, P5.2.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60</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Course synthesis and transition</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Complete course revision, response practice, evidence audit and transition reflection for the HSC course.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P1.1, P4.3, P5.2.</w:t>
            </w:r>
          </w:p>
        </w:tc>
      </w:tr>
    </w:tbl>
    <w:p>
      <w:r>
        <w:br w:type="page"/>
      </w:r>
    </w:p>
    <w:p>
      <w:pPr>
        <w:pStyle w:val="Title"/>
        <w:spacing w:before="0" w:after="40" w:line="240" w:lineRule="auto"/>
      </w:pPr>
      <w:r>
        <w:rPr>
          <w:rFonts w:ascii="Arial" w:hAnsi="Arial"/>
          <w:b/>
          <w:color w:val="10251F"/>
          <w:sz w:val="48"/>
        </w:rPr>
        <w:t>Year 12 blocks 61-120</w:t>
      </w:r>
    </w:p>
    <w:p>
      <w:pPr>
        <w:spacing w:before="0" w:after="160" w:line="240" w:lineRule="auto"/>
      </w:pPr>
      <w:r>
        <w:rPr>
          <w:rFonts w:ascii="Arial" w:hAnsi="Arial"/>
          <w:b/>
          <w:color w:val="B65F49"/>
          <w:sz w:val="18"/>
        </w:rPr>
        <w:t>Provisional continuity map - replace with the detailed Year 12 program when authorised.</w:t>
      </w:r>
    </w:p>
    <w:p>
      <w:pPr>
        <w:pStyle w:val="Heading1"/>
        <w:spacing w:before="0" w:after="100" w:line="240" w:lineRule="auto"/>
      </w:pPr>
      <w:r>
        <w:rPr>
          <w:rFonts w:ascii="Arial" w:hAnsi="Arial"/>
          <w:b/>
          <w:color w:val="173A32"/>
          <w:sz w:val="32"/>
        </w:rPr>
        <w:t>Blocks 61-66</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61</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HSC orientation and opportunity discovery: concepts and authorised requirements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source analysis for hsc orientation and opportunity discovery. Confirm current NESA advice, school assessment requirements and project milestones before delivery.</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Reconnect Preliminary habits with HSC innovation study and the MDP; explore needs without locking in a solution.</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H1.1, H4.1, H5.2.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62</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HSC orientation and opportunity discovery: evidence, communication and formative response</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Use stimulus, modelled reasoning and command-verb practice. Students identify evidence gaps and make a supported decision rather than completing a generic worksheet.</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Reconnect Preliminary habits with HSC innovation study and the MDP; explore needs without locking in a solution.</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H1.1, H4.1, H5.2.</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63</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MDP / case study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HSC orientation and opportunity discovery: MDP or innovation application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Apply the content directly to the Major Design Project or innovation case study, with teacher feedback focused on feasibility, evidence and scope.</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Reconnect Preliminary habits with HSC innovation study and the MDP; explore needs without locking in a solution.</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H1.1, H4.1, H5.2.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64</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checkpoint</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HSC orientation and opportunity discovery: checkpoint, evaluation and next actions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Review project evidence, update management and evaluate progress. Record decisions, limitations and the next smallest useful action.</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Reconnect Preliminary habits with HSC innovation study and the MDP; explore needs without locking in a solution.</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H1.1, H4.1, H5.2.</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65</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MDP proposal and scope: concepts and authorised requirements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source analysis for mdp proposal and scope. Confirm current NESA advice, school assessment requirements and project milestones before delivery.</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Define a significant need or opportunity, stakeholders, project boundaries, feasibility and proposal evidence.</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H4.1, H5.1.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66</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MDP proposal and scope: evidence, communication and formative response</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Use stimulus, modelled reasoning and command-verb practice. Students identify evidence gaps and make a supported decision rather than completing a generic worksheet.</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Define a significant need or opportunity, stakeholders, project boundaries, feasibility and proposal evidence.</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H4.1, H5.1.</w:t>
            </w:r>
          </w:p>
        </w:tc>
      </w:tr>
    </w:tbl>
    <w:p>
      <w:r>
        <w:br w:type="page"/>
      </w:r>
    </w:p>
    <w:p>
      <w:pPr>
        <w:pStyle w:val="Heading1"/>
        <w:spacing w:before="0" w:after="100" w:line="240" w:lineRule="auto"/>
      </w:pPr>
      <w:r>
        <w:rPr>
          <w:rFonts w:ascii="Arial" w:hAnsi="Arial"/>
          <w:b/>
          <w:color w:val="173A32"/>
          <w:sz w:val="32"/>
        </w:rPr>
        <w:t>Blocks 67-72</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67</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MDP / case study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MDP proposal and scope: MDP or innovation application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Apply the content directly to the Major Design Project or innovation case study, with teacher feedback focused on feasibility, evidence and scope.</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Define a significant need or opportunity, stakeholders, project boundaries, feasibility and proposal evidence.</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H4.1, H5.1.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68</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checkpoint</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MDP proposal and scope: checkpoint, evaluation and next actions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Review project evidence, update management and evaluate progress. Record decisions, limitations and the next smallest useful action.</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Define a significant need or opportunity, stakeholders, project boundaries, feasibility and proposal evidence.</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H4.1, H5.1.</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69</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Research, criteria and design direction: concepts and authorised requirements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source analysis for research, criteria and design direction. Confirm current NESA advice, school assessment requirements and project milestones before delivery.</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Use ethical research, evidence synthesis and criteria to guide a defensible design direction.</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H4.1, H5.2.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70</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Research, criteria and design direction: evidence, communication and formative response</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Use stimulus, modelled reasoning and command-verb practice. Students identify evidence gaps and make a supported decision rather than completing a generic worksheet.</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Use ethical research, evidence synthesis and criteria to guide a defensible design direction.</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H4.1, H5.2.</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71</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MDP / case study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Research, criteria and design direction: MDP or innovation application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Apply the content directly to the Major Design Project or innovation case study, with teacher feedback focused on feasibility, evidence and scope.</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Use ethical research, evidence synthesis and criteria to guide a defensible design direction.</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H4.1, H5.2.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72</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checkpoint</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Research, criteria and design direction: checkpoint, evaluation and next actions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Review project evidence, update management and evaluate progress. Record decisions, limitations and the next smallest useful action.</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Use ethical research, evidence synthesis and criteria to guide a defensible design direction.</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H4.1, H5.2.</w:t>
            </w:r>
          </w:p>
        </w:tc>
      </w:tr>
    </w:tbl>
    <w:p>
      <w:r>
        <w:br w:type="page"/>
      </w:r>
    </w:p>
    <w:p>
      <w:pPr>
        <w:pStyle w:val="Heading1"/>
        <w:spacing w:before="0" w:after="100" w:line="240" w:lineRule="auto"/>
      </w:pPr>
      <w:r>
        <w:rPr>
          <w:rFonts w:ascii="Arial" w:hAnsi="Arial"/>
          <w:b/>
          <w:color w:val="173A32"/>
          <w:sz w:val="32"/>
        </w:rPr>
        <w:t>Blocks 73-78</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73</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Project management and finance: concepts and authorised requirements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source analysis for project management and finance. Confirm current NESA advice, school assessment requirements and project milestones before delivery.</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Develop active action, time and finance plans with dependencies, contingencies and decision points.</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H5.1.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74</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Project management and finance: evidence, communication and formative response</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Use stimulus, modelled reasoning and command-verb practice. Students identify evidence gaps and make a supported decision rather than completing a generic worksheet.</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Develop active action, time and finance plans with dependencies, contingencies and decision points.</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H5.1.</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75</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MDP / case study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Project management and finance: MDP or innovation application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Apply the content directly to the Major Design Project or innovation case study, with teacher feedback focused on feasibility, evidence and scope.</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Develop active action, time and finance plans with dependencies, contingencies and decision points.</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H5.1.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76</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checkpoint</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Project management and finance: checkpoint, evaluation and next actions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Review project evidence, update management and evaluate progress. Record decisions, limitations and the next smallest useful action.</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Develop active action, time and finance plans with dependencies, contingencies and decision points.</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H5.1.</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77</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Creative concept development: concepts and authorised requirements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source analysis for creative concept development. Confirm current NESA advice, school assessment requirements and project milestones before delivery.</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Generate, communicate and compare genuinely different concepts using creative and innovative approaches.</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H3.2, H4.1.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78</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Creative concept development: evidence, communication and formative response</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Use stimulus, modelled reasoning and command-verb practice. Students identify evidence gaps and make a supported decision rather than completing a generic worksheet.</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Generate, communicate and compare genuinely different concepts using creative and innovative approaches.</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H3.2, H4.1.</w:t>
            </w:r>
          </w:p>
        </w:tc>
      </w:tr>
    </w:tbl>
    <w:p>
      <w:r>
        <w:br w:type="page"/>
      </w:r>
    </w:p>
    <w:p>
      <w:pPr>
        <w:pStyle w:val="Heading1"/>
        <w:spacing w:before="0" w:after="100" w:line="240" w:lineRule="auto"/>
      </w:pPr>
      <w:r>
        <w:rPr>
          <w:rFonts w:ascii="Arial" w:hAnsi="Arial"/>
          <w:b/>
          <w:color w:val="173A32"/>
          <w:sz w:val="32"/>
        </w:rPr>
        <w:t>Blocks 79-84</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79</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MDP / case study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Creative concept development: MDP or innovation application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Apply the content directly to the Major Design Project or innovation case study, with teacher feedback focused on feasibility, evidence and scope.</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Generate, communicate and compare genuinely different concepts using creative and innovative approaches.</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H3.2, H4.1.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80</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checkpoint</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Creative concept development: checkpoint, evaluation and next actions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Review project evidence, update management and evaluate progress. Record decisions, limitations and the next smallest useful action.</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Generate, communicate and compare genuinely different concepts using creative and innovative approaches.</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H3.2, H4.1.</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81</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Experimentation and prototyping: concepts and authorised requirements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source analysis for experimentation and prototyping. Confirm current NESA advice, school assessment requirements and project milestones before delivery.</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Test high-risk functions, materials, ergonomics and processes before committing to full production.</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H4.2, H4.3.</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82</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Experimentation and prototyping: evidence, communication and formative response</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Use stimulus, modelled reasoning and command-verb practice. Students identify evidence gaps and make a supported decision rather than completing a generic worksheet.</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Test high-risk functions, materials, ergonomics and processes before committing to full production.</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H4.2, H4.3.</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83</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MDP / case study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Experimentation and prototyping: MDP or innovation application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Apply the content directly to the Major Design Project or innovation case study, with teacher feedback focused on feasibility, evidence and scope.</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Test high-risk functions, materials, ergonomics and processes before committing to full production.</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H4.2, H4.3.</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84</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checkpoint</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Experimentation and prototyping: checkpoint, evaluation and next actions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Review project evidence, update management and evaluate progress. Record decisions, limitations and the next smallest useful action.</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Test high-risk functions, materials, ergonomics and processes before committing to full production.</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H4.2, H4.3.</w:t>
            </w:r>
          </w:p>
        </w:tc>
      </w:tr>
    </w:tbl>
    <w:p>
      <w:r>
        <w:br w:type="page"/>
      </w:r>
    </w:p>
    <w:p>
      <w:pPr>
        <w:pStyle w:val="Heading1"/>
        <w:spacing w:before="0" w:after="100" w:line="240" w:lineRule="auto"/>
      </w:pPr>
      <w:r>
        <w:rPr>
          <w:rFonts w:ascii="Arial" w:hAnsi="Arial"/>
          <w:b/>
          <w:color w:val="173A32"/>
          <w:sz w:val="32"/>
        </w:rPr>
        <w:t>Blocks 85-90</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85</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Resources and technological decisions: concepts and authorised requirements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source analysis for resources and technological decisions. Confirm current NESA advice, school assessment requirements and project milestones before delivery.</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Justify materials, components, services, software and technologies through evidence and whole-project constraints.</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H4.2, H6.1.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86</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Resources and technological decisions: evidence, communication and formative response</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Use stimulus, modelled reasoning and command-verb practice. Students identify evidence gaps and make a supported decision rather than completing a generic worksheet.</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Justify materials, components, services, software and technologies through evidence and whole-project constraints.</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H4.2, H6.1.</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87</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MDP / case study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Resources and technological decisions: MDP or innovation application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Apply the content directly to the Major Design Project or innovation case study, with teacher feedback focused on feasibility, evidence and scope.</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Justify materials, components, services, software and technologies through evidence and whole-project constraints.</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H4.2, H6.1.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88</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checkpoint</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Resources and technological decisions: checkpoint, evaluation and next actions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Review project evidence, update management and evaluate progress. Record decisions, limitations and the next smallest useful action.</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Justify materials, components, services, software and technologies through evidence and whole-project constraints.</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H4.2, H6.1.</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89</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Production planning and WHS: concepts and authorised requirements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source analysis for production planning and whs. Confirm current NESA advice, school assessment requirements and project milestones before delivery.</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Resolve specifications, sequence, quality assurance, safe work and production evidence.</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H4.2, H5.1, H6.1.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90</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Production planning and WHS: evidence, communication and formative response</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Use stimulus, modelled reasoning and command-verb practice. Students identify evidence gaps and make a supported decision rather than completing a generic worksheet.</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Resolve specifications, sequence, quality assurance, safe work and production evidence.</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H4.2, H5.1, H6.1.</w:t>
            </w:r>
          </w:p>
        </w:tc>
      </w:tr>
    </w:tbl>
    <w:p>
      <w:r>
        <w:br w:type="page"/>
      </w:r>
    </w:p>
    <w:p>
      <w:pPr>
        <w:pStyle w:val="Heading1"/>
        <w:spacing w:before="0" w:after="100" w:line="240" w:lineRule="auto"/>
      </w:pPr>
      <w:r>
        <w:rPr>
          <w:rFonts w:ascii="Arial" w:hAnsi="Arial"/>
          <w:b/>
          <w:color w:val="173A32"/>
          <w:sz w:val="32"/>
        </w:rPr>
        <w:t>Blocks 91-96</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91</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MDP / case study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Production planning and WHS: MDP or innovation application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Apply the content directly to the Major Design Project or innovation case study, with teacher feedback focused on feasibility, evidence and scope.</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Resolve specifications, sequence, quality assurance, safe work and production evidence.</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H4.2, H5.1, H6.1.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92</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checkpoint</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Production planning and WHS: checkpoint, evaluation and next actions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Review project evidence, update management and evaluate progress. Record decisions, limitations and the next smallest useful action.</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Resolve specifications, sequence, quality assurance, safe work and production evidence.</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H4.2, H5.1, H6.1.</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93</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Project development and realisation I: concepts and authorised requirements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source analysis for project development and realisation i. Confirm current NESA advice, school assessment requirements and project milestones before delivery.</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Produce the MDP while documenting practical skill, quality, changes and industrial/commercial links.</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H4.2, H5.1, H6.1.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94</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Project development and realisation I: evidence, communication and formative response</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Use stimulus, modelled reasoning and command-verb practice. Students identify evidence gaps and make a supported decision rather than completing a generic worksheet.</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Produce the MDP while documenting practical skill, quality, changes and industrial/commercial links.</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H4.2, H5.1, H6.1.</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95</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MDP / case study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Project development and realisation I: MDP or innovation application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Apply the content directly to the Major Design Project or innovation case study, with teacher feedback focused on feasibility, evidence and scope.</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Produce the MDP while documenting practical skill, quality, changes and industrial/commercial links.</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H4.2, H5.1, H6.1.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96</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checkpoint</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Project development and realisation I: checkpoint, evaluation and next actions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Review project evidence, update management and evaluate progress. Record decisions, limitations and the next smallest useful action.</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Produce the MDP while documenting practical skill, quality, changes and industrial/commercial links.</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H4.2, H5.1, H6.1.</w:t>
            </w:r>
          </w:p>
        </w:tc>
      </w:tr>
    </w:tbl>
    <w:p>
      <w:r>
        <w:br w:type="page"/>
      </w:r>
    </w:p>
    <w:p>
      <w:pPr>
        <w:pStyle w:val="Heading1"/>
        <w:spacing w:before="0" w:after="100" w:line="240" w:lineRule="auto"/>
      </w:pPr>
      <w:r>
        <w:rPr>
          <w:rFonts w:ascii="Arial" w:hAnsi="Arial"/>
          <w:b/>
          <w:color w:val="173A32"/>
          <w:sz w:val="32"/>
        </w:rPr>
        <w:t>Blocks 97-102</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97</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Project development and realisation II: concepts and authorised requirements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source analysis for project development and realisation ii. Confirm current NESA advice, school assessment requirements and project milestones before delivery.</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Continue production, control scope and quality, and apply evidence from ongoing evaluation.</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H4.2, H4.3, H5.1.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98</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Project development and realisation II: evidence, communication and formative response</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Use stimulus, modelled reasoning and command-verb practice. Students identify evidence gaps and make a supported decision rather than completing a generic worksheet.</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Continue production, control scope and quality, and apply evidence from ongoing evaluation.</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H4.2, H4.3, H5.1.</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99</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MDP / case study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Project development and realisation II: MDP or innovation application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Apply the content directly to the Major Design Project or innovation case study, with teacher feedback focused on feasibility, evidence and scope.</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Continue production, control scope and quality, and apply evidence from ongoing evaluation.</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H4.2, H4.3, H5.1.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100</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checkpoint</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Project development and realisation II: checkpoint, evaluation and next actions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Review project evidence, update management and evaluate progress. Record decisions, limitations and the next smallest useful action.</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Continue production, control scope and quality, and apply evidence from ongoing evaluation.</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H4.2, H4.3, H5.1.</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101</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Innovation case study foundations: concepts and authorised requirements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source analysis for innovation case study foundations. Confirm current NESA advice, school assessment requirements and project milestones before delivery.</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Select and define an innovation; investigate context, development, stakeholders and evidence reliability.</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H2.1, H3.1, H5.2.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102</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Innovation case study foundations: evidence, communication and formative response</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Use stimulus, modelled reasoning and command-verb practice. Students identify evidence gaps and make a supported decision rather than completing a generic worksheet.</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Select and define an innovation; investigate context, development, stakeholders and evidence reliability.</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H2.1, H3.1, H5.2.</w:t>
            </w:r>
          </w:p>
        </w:tc>
      </w:tr>
    </w:tbl>
    <w:p>
      <w:r>
        <w:br w:type="page"/>
      </w:r>
    </w:p>
    <w:p>
      <w:pPr>
        <w:pStyle w:val="Heading1"/>
        <w:spacing w:before="0" w:after="100" w:line="240" w:lineRule="auto"/>
      </w:pPr>
      <w:r>
        <w:rPr>
          <w:rFonts w:ascii="Arial" w:hAnsi="Arial"/>
          <w:b/>
          <w:color w:val="173A32"/>
          <w:sz w:val="32"/>
        </w:rPr>
        <w:t>Blocks 103-108</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103</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MDP / case study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Innovation case study foundations: MDP or innovation application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Apply the content directly to the Major Design Project or innovation case study, with teacher feedback focused on feasibility, evidence and scope.</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Select and define an innovation; investigate context, development, stakeholders and evidence reliability.</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H2.1, H3.1, H5.2.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104</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checkpoint</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Innovation case study foundations: checkpoint, evaluation and next actions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Review project evidence, update management and evaluate progress. Record decisions, limitations and the next smallest useful action.</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Select and define an innovation; investigate context, development, stakeholders and evidence reliability.</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H2.1, H3.1, H5.2.</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105</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Innovation success and entrepreneurial activity: concepts and authorised requirements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source analysis for innovation success and entrepreneurial activity. Confirm current NESA advice, school assessment requirements and project milestones before delivery.</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Analyse timing, technologies, agencies, marketing, finance and entrepreneurial decisions affecting success.</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H3.1.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106</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Innovation success and entrepreneurial activity: evidence, communication and formative response</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Use stimulus, modelled reasoning and command-verb practice. Students identify evidence gaps and make a supported decision rather than completing a generic worksheet.</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Analyse timing, technologies, agencies, marketing, finance and entrepreneurial decisions affecting success.</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H3.1.</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107</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MDP / case study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Innovation success and entrepreneurial activity: MDP or innovation application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Apply the content directly to the Major Design Project or innovation case study, with teacher feedback focused on feasibility, evidence and scope.</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Analyse timing, technologies, agencies, marketing, finance and entrepreneurial decisions affecting success.</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H3.1.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108</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checkpoint</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Innovation success and entrepreneurial activity: checkpoint, evaluation and next actions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Review project evidence, update management and evaluate progress. Record decisions, limitations and the next smallest useful action.</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Analyse timing, technologies, agencies, marketing, finance and entrepreneurial decisions affecting success.</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H3.1.</w:t>
            </w:r>
          </w:p>
        </w:tc>
      </w:tr>
    </w:tbl>
    <w:p>
      <w:r>
        <w:br w:type="page"/>
      </w:r>
    </w:p>
    <w:p>
      <w:pPr>
        <w:pStyle w:val="Heading1"/>
        <w:spacing w:before="0" w:after="100" w:line="240" w:lineRule="auto"/>
      </w:pPr>
      <w:r>
        <w:rPr>
          <w:rFonts w:ascii="Arial" w:hAnsi="Arial"/>
          <w:b/>
          <w:color w:val="173A32"/>
          <w:sz w:val="32"/>
        </w:rPr>
        <w:t>Blocks 109-114</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109</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Ethical, social and environmental impacts: concepts and authorised requirements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source analysis for ethical, social and environmental impacts. Confirm current NESA advice, school assessment requirements and project milestones before delivery.</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Evaluate rights, responsibilities, equity, intellectual property, sustainability and impacts on Australian society.</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H2.2, H6.2.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110</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Ethical, social and environmental impacts: evidence, communication and formative response</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Use stimulus, modelled reasoning and command-verb practice. Students identify evidence gaps and make a supported decision rather than completing a generic worksheet.</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Evaluate rights, responsibilities, equity, intellectual property, sustainability and impacts on Australian society.</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H2.2, H6.2.</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111</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MDP / case study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Ethical, social and environmental impacts: MDP or innovation application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Apply the content directly to the Major Design Project or innovation case study, with teacher feedback focused on feasibility, evidence and scope.</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Evaluate rights, responsibilities, equity, intellectual property, sustainability and impacts on Australian society.</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H2.2, H6.2.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112</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checkpoint</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Ethical, social and environmental impacts: checkpoint, evaluation and next actions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Review project evidence, update management and evaluate progress. Record decisions, limitations and the next smallest useful action.</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Evaluate rights, responsibilities, equity, intellectual property, sustainability and impacts on Australian society.</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H2.2, H6.2.</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113</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Emerging technologies and examination synthesis: concepts and authorised requirements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source analysis for emerging technologies and examination synthesis. Confirm current NESA advice, school assessment requirements and project milestones before delivery.</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Critically assess technological emergence and impact; practise sustained evidence-rich HSC responses.</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H1.1, H2.2, H6.2.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114</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Emerging technologies and examination synthesis: evidence, communication and formative response</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Use stimulus, modelled reasoning and command-verb practice. Students identify evidence gaps and make a supported decision rather than completing a generic worksheet.</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Critically assess technological emergence and impact; practise sustained evidence-rich HSC responses.</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H1.1, H2.2, H6.2.</w:t>
            </w:r>
          </w:p>
        </w:tc>
      </w:tr>
    </w:tbl>
    <w:p>
      <w:r>
        <w:br w:type="page"/>
      </w:r>
    </w:p>
    <w:p>
      <w:pPr>
        <w:pStyle w:val="Heading1"/>
        <w:spacing w:before="0" w:after="100" w:line="240" w:lineRule="auto"/>
      </w:pPr>
      <w:r>
        <w:rPr>
          <w:rFonts w:ascii="Arial" w:hAnsi="Arial"/>
          <w:b/>
          <w:color w:val="173A32"/>
          <w:sz w:val="32"/>
        </w:rPr>
        <w:t>Blocks 115-120</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115</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MDP / case study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Emerging technologies and examination synthesis: MDP or innovation application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Apply the content directly to the Major Design Project or innovation case study, with teacher feedback focused on feasibility, evidence and scope.</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Critically assess technological emergence and impact; practise sustained evidence-rich HSC responses.</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H1.1, H2.2, H6.2.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116</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checkpoint</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Emerging technologies and examination synthesis: checkpoint, evaluation and next actions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Review project evidence, update management and evaluate progress. Record decisions, limitations and the next smallest useful action.</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Critically assess technological emergence and impact; practise sustained evidence-rich HSC responses.</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H1.1, H2.2, H6.2.</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117</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MDP completion and final evaluation: concepts and authorised requirements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source analysis for mdp completion and final evaluation. Confirm current NESA advice, school assessment requirements and project milestones before delivery.</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 present and evaluate the MDP against need, criteria, process evidence and whole-of-life impacts.</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H1.2, H4.3, H5.1, H5.2.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118</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MDP completion and final evaluation: evidence, communication and formative response</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Use stimulus, modelled reasoning and command-verb practice. Students identify evidence gaps and make a supported decision rather than completing a generic worksheet.</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Complete, present and evaluate the MDP against need, criteria, process evidence and whole-of-life impacts.</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H1.2, H4.3, H5.1, H5.2.</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119</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MDP / case study</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MDP completion and final evaluation: MDP or innovation application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Apply the content directly to the Major Design Project or innovation case study, with teacher feedback focused on feasibility, evidence and scope.</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 present and evaluate the MDP against need, criteria, process evidence and whole-of-life impacts.</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Provisional evidence focus; replace with the detailed Year 12 program when built. Outcomes: H1.2, H4.3, H5.1, H5.2.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120</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checkpoint</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MDP completion and final evaluation: checkpoint, evaluation and next actions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Review project evidence, update management and evaluate progress. Record decisions, limitations and the next smallest useful action.</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Complete, present and evaluate the MDP against need, criteria, process evidence and whole-of-life impacts.</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Provisional evidence focus; replace with the detailed Year 12 program when built. Outcomes: H1.2, H4.3, H5.1, H5.2.</w:t>
            </w:r>
          </w:p>
        </w:tc>
      </w:tr>
    </w:tbl>
    <w:p>
      <w:r>
        <w:br w:type="page"/>
      </w:r>
    </w:p>
    <w:p>
      <w:pPr>
        <w:pStyle w:val="Title"/>
      </w:pPr>
      <w:r>
        <w:t>Source register and control boundary</w:t>
      </w:r>
    </w:p>
    <w:p>
      <w:pPr>
        <w:spacing w:before="0" w:after="160" w:line="240" w:lineRule="auto"/>
      </w:pPr>
      <w:r>
        <w:rPr>
          <w:rFonts w:ascii="Arial" w:hAnsi="Arial"/>
          <w:b/>
          <w:color w:val="173A32"/>
          <w:sz w:val="18"/>
        </w:rPr>
        <w:t>Authority order: current NESA syllabus and ACE requirements → current school assessment/task documents → current teacher-approved project, practical and WHS instructions → course support materials → this program/site.</w:t>
      </w:r>
    </w:p>
    <w:tbl>
      <w:tblPr>
        <w:tblW w:type="auto" w:w="0"/>
        <w:jc w:val="center"/>
        <w:tblLayout w:type="fixed"/>
        <w:tblLook w:firstColumn="1" w:firstRow="1" w:lastColumn="0" w:lastRow="0" w:noHBand="0" w:noVBand="1" w:val="04A0"/>
        <w:tblBorders>
          <w:top w:val="single" w:sz="6" w:space="0" w:color="D9D2C6"/>
          <w:left w:val="single" w:sz="6" w:space="0" w:color="D9D2C6"/>
          <w:bottom w:val="single" w:sz="6" w:space="0" w:color="D9D2C6"/>
          <w:right w:val="single" w:sz="6" w:space="0" w:color="D9D2C6"/>
          <w:insideH w:val="single" w:sz="6" w:space="0" w:color="D9D2C6"/>
          <w:insideV w:val="single" w:sz="6" w:space="0" w:color="D9D2C6"/>
        </w:tblBorders>
      </w:tblPr>
      <w:tblGrid>
        <w:gridCol w:w="3605"/>
        <w:gridCol w:w="3605"/>
        <w:gridCol w:w="3605"/>
        <w:gridCol w:w="3605"/>
      </w:tblGrid>
      <w:tr>
        <w:trPr>
          <w:tblHeader w:val="true"/>
        </w:trPr>
        <w:tc>
          <w:tcPr>
            <w:tcW w:type="dxa" w:w="3572"/>
            <w:tcMar>
              <w:top w:w="70" w:type="dxa"/>
              <w:start w:w="90" w:type="dxa"/>
              <w:bottom w:w="70" w:type="dxa"/>
              <w:end w:w="90" w:type="dxa"/>
            </w:tcMar>
            <w:shd w:fill="173A32"/>
          </w:tcPr>
          <w:p>
            <w:pPr>
              <w:spacing w:before="0" w:after="0" w:line="240" w:lineRule="auto"/>
            </w:pPr>
            <w:r>
              <w:rPr>
                <w:rFonts w:ascii="Arial" w:hAnsi="Arial"/>
                <w:b/>
                <w:color w:val="FFFFFF"/>
                <w:sz w:val="16"/>
              </w:rPr>
              <w:t>Source</w:t>
            </w:r>
          </w:p>
        </w:tc>
        <w:tc>
          <w:tcPr>
            <w:tcW w:type="dxa" w:w="4989"/>
            <w:tcMar>
              <w:top w:w="70" w:type="dxa"/>
              <w:start w:w="90" w:type="dxa"/>
              <w:bottom w:w="70" w:type="dxa"/>
              <w:end w:w="90" w:type="dxa"/>
            </w:tcMar>
            <w:shd w:fill="173A32"/>
          </w:tcPr>
          <w:p>
            <w:pPr>
              <w:spacing w:before="0" w:after="0" w:line="240" w:lineRule="auto"/>
            </w:pPr>
            <w:r>
              <w:rPr>
                <w:rFonts w:ascii="Arial" w:hAnsi="Arial"/>
                <w:b/>
                <w:color w:val="FFFFFF"/>
                <w:sz w:val="16"/>
              </w:rPr>
              <w:t>Used for</w:t>
            </w:r>
          </w:p>
        </w:tc>
        <w:tc>
          <w:tcPr>
            <w:tcW w:type="dxa" w:w="4932"/>
            <w:tcMar>
              <w:top w:w="70" w:type="dxa"/>
              <w:start w:w="90" w:type="dxa"/>
              <w:bottom w:w="70" w:type="dxa"/>
              <w:end w:w="90" w:type="dxa"/>
            </w:tcMar>
            <w:shd w:fill="173A32"/>
          </w:tcPr>
          <w:p>
            <w:pPr>
              <w:spacing w:before="0" w:after="0" w:line="240" w:lineRule="auto"/>
            </w:pPr>
            <w:r>
              <w:rPr>
                <w:rFonts w:ascii="Arial" w:hAnsi="Arial"/>
                <w:b/>
                <w:color w:val="FFFFFF"/>
                <w:sz w:val="16"/>
              </w:rPr>
              <w:t>Status / boundary</w:t>
            </w:r>
          </w:p>
        </w:tc>
        <w:tc>
          <w:tcPr>
            <w:tcW w:type="dxa" w:w="1701"/>
            <w:tcMar>
              <w:top w:w="70" w:type="dxa"/>
              <w:start w:w="90" w:type="dxa"/>
              <w:bottom w:w="70" w:type="dxa"/>
              <w:end w:w="90" w:type="dxa"/>
            </w:tcMar>
            <w:shd w:fill="173A32"/>
          </w:tcPr>
          <w:p>
            <w:pPr>
              <w:spacing w:before="0" w:after="0" w:line="240" w:lineRule="auto"/>
            </w:pPr>
            <w:r>
              <w:rPr>
                <w:rFonts w:ascii="Arial" w:hAnsi="Arial"/>
                <w:b/>
                <w:color w:val="FFFFFF"/>
                <w:sz w:val="16"/>
              </w:rPr>
              <w:t>Link</w:t>
            </w:r>
          </w:p>
        </w:tc>
      </w:tr>
      <w:tr>
        <w:trPr>
          <w:cantSplit/>
        </w:trPr>
        <w:tc>
          <w:tcPr>
            <w:tcW w:type="dxa" w:w="3572"/>
            <w:tcMar>
              <w:top w:w="70" w:type="dxa"/>
              <w:start w:w="90" w:type="dxa"/>
              <w:bottom w:w="70" w:type="dxa"/>
              <w:end w:w="90" w:type="dxa"/>
            </w:tcMar>
            <w:shd w:fill="EDF3EF"/>
          </w:tcPr>
          <w:p>
            <w:pPr>
              <w:spacing w:before="0" w:after="0" w:line="228" w:lineRule="auto"/>
            </w:pPr>
            <w:r>
              <w:rPr>
                <w:rFonts w:ascii="Arial" w:hAnsi="Arial"/>
                <w:b/>
                <w:color w:val="18231F"/>
                <w:sz w:val="14"/>
              </w:rPr>
              <w:t>Design and Technology Stage 6 Syllabus (2013) - official course page</w:t>
              <w:br/>
              <w:t>Official syllabus authority</w:t>
            </w:r>
          </w:p>
        </w:tc>
        <w:tc>
          <w:tcPr>
            <w:tcW w:type="dxa" w:w="4989"/>
            <w:tcMar>
              <w:top w:w="70" w:type="dxa"/>
              <w:start w:w="90" w:type="dxa"/>
              <w:bottom w:w="70" w:type="dxa"/>
              <w:end w:w="90" w:type="dxa"/>
            </w:tcMar>
            <w:shd w:fill="EDF3EF"/>
          </w:tcPr>
          <w:p>
            <w:pPr>
              <w:spacing w:before="0" w:after="0" w:line="228" w:lineRule="auto"/>
            </w:pPr>
            <w:r>
              <w:rPr>
                <w:rFonts w:ascii="Arial" w:hAnsi="Arial"/>
                <w:b w:val="0"/>
                <w:color w:val="18231F"/>
                <w:sz w:val="14"/>
              </w:rPr>
              <w:t>Course requirements, Preliminary/HSC scope, project requirements and official course boundary</w:t>
            </w:r>
          </w:p>
        </w:tc>
        <w:tc>
          <w:tcPr>
            <w:tcW w:type="dxa" w:w="4932"/>
            <w:tcMar>
              <w:top w:w="70" w:type="dxa"/>
              <w:start w:w="90" w:type="dxa"/>
              <w:bottom w:w="70" w:type="dxa"/>
              <w:end w:w="90" w:type="dxa"/>
            </w:tcMar>
            <w:shd w:fill="EDF3EF"/>
          </w:tcPr>
          <w:p>
            <w:pPr>
              <w:spacing w:before="0" w:after="0" w:line="228" w:lineRule="auto"/>
            </w:pPr>
            <w:r>
              <w:rPr>
                <w:rFonts w:ascii="Arial" w:hAnsi="Arial"/>
                <w:b w:val="0"/>
                <w:color w:val="18231F"/>
                <w:sz w:val="14"/>
              </w:rPr>
              <w:t>Current syllabus taught in Years 11-12 at build date</w:t>
            </w:r>
          </w:p>
        </w:tc>
        <w:tc>
          <w:tcPr>
            <w:tcW w:type="dxa" w:w="1701"/>
            <w:tcMar>
              <w:top w:w="70" w:type="dxa"/>
              <w:start w:w="90" w:type="dxa"/>
              <w:bottom w:w="70" w:type="dxa"/>
              <w:end w:w="90" w:type="dxa"/>
            </w:tcMar>
            <w:shd w:fill="EDF3EF"/>
          </w:tcPr>
          <w:p>
            <w:hyperlink r:id="rId11">
              <w:r>
                <w:rPr>
                  <w:color w:val="173A32"/>
                  <w:u w:val="single"/>
                </w:rPr>
                <w:t>Open source</w:t>
              </w:r>
            </w:hyperlink>
          </w:p>
        </w:tc>
      </w:tr>
      <w:tr>
        <w:trPr>
          <w:cantSplit/>
        </w:trPr>
        <w:tc>
          <w:tcPr>
            <w:tcW w:type="dxa" w:w="3572"/>
            <w:tcMar>
              <w:top w:w="70" w:type="dxa"/>
              <w:start w:w="90" w:type="dxa"/>
              <w:bottom w:w="70" w:type="dxa"/>
              <w:end w:w="90" w:type="dxa"/>
            </w:tcMar>
            <w:shd w:fill="FFFFFF"/>
          </w:tcPr>
          <w:p>
            <w:pPr>
              <w:spacing w:before="0" w:after="0" w:line="228" w:lineRule="auto"/>
            </w:pPr>
            <w:r>
              <w:rPr>
                <w:rFonts w:ascii="Arial" w:hAnsi="Arial"/>
                <w:b/>
                <w:color w:val="18231F"/>
                <w:sz w:val="14"/>
              </w:rPr>
              <w:t>Year 11 Design and Technology authorised Google Drive folder</w:t>
              <w:br/>
              <w:t>School source collection</w:t>
            </w:r>
          </w:p>
        </w:tc>
        <w:tc>
          <w:tcPr>
            <w:tcW w:type="dxa" w:w="4989"/>
            <w:tcMar>
              <w:top w:w="70" w:type="dxa"/>
              <w:start w:w="90" w:type="dxa"/>
              <w:bottom w:w="70" w:type="dxa"/>
              <w:end w:w="90" w:type="dxa"/>
            </w:tcMar>
            <w:shd w:fill="FFFFFF"/>
          </w:tcPr>
          <w:p>
            <w:pPr>
              <w:spacing w:before="0" w:after="0" w:line="228" w:lineRule="auto"/>
            </w:pPr>
            <w:r>
              <w:rPr>
                <w:rFonts w:ascii="Arial" w:hAnsi="Arial"/>
                <w:b w:val="0"/>
                <w:color w:val="18231F"/>
                <w:sz w:val="14"/>
              </w:rPr>
              <w:t>Task notices, project briefs, worksheets, media and teacher resources</w:t>
            </w:r>
          </w:p>
        </w:tc>
        <w:tc>
          <w:tcPr>
            <w:tcW w:type="dxa" w:w="4932"/>
            <w:tcMar>
              <w:top w:w="70" w:type="dxa"/>
              <w:start w:w="90" w:type="dxa"/>
              <w:bottom w:w="70" w:type="dxa"/>
              <w:end w:w="90" w:type="dxa"/>
            </w:tcMar>
            <w:shd w:fill="FFFFFF"/>
          </w:tcPr>
          <w:p>
            <w:pPr>
              <w:spacing w:before="0" w:after="0" w:line="228" w:lineRule="auto"/>
            </w:pPr>
            <w:r>
              <w:rPr>
                <w:rFonts w:ascii="Arial" w:hAnsi="Arial"/>
                <w:b w:val="0"/>
                <w:color w:val="18231F"/>
                <w:sz w:val="14"/>
              </w:rPr>
              <w:t>Teacher-controlled</w:t>
            </w:r>
          </w:p>
        </w:tc>
        <w:tc>
          <w:tcPr>
            <w:tcW w:type="dxa" w:w="1701"/>
            <w:tcMar>
              <w:top w:w="70" w:type="dxa"/>
              <w:start w:w="90" w:type="dxa"/>
              <w:bottom w:w="70" w:type="dxa"/>
              <w:end w:w="90" w:type="dxa"/>
            </w:tcMar>
            <w:shd w:fill="FFFFFF"/>
          </w:tcPr>
          <w:p>
            <w:hyperlink r:id="rId15">
              <w:r>
                <w:rPr>
                  <w:color w:val="173A32"/>
                  <w:u w:val="single"/>
                </w:rPr>
                <w:t>Open source</w:t>
              </w:r>
            </w:hyperlink>
          </w:p>
        </w:tc>
      </w:tr>
      <w:tr>
        <w:trPr>
          <w:cantSplit/>
        </w:trPr>
        <w:tc>
          <w:tcPr>
            <w:tcW w:type="dxa" w:w="3572"/>
            <w:tcMar>
              <w:top w:w="70" w:type="dxa"/>
              <w:start w:w="90" w:type="dxa"/>
              <w:bottom w:w="70" w:type="dxa"/>
              <w:end w:w="90" w:type="dxa"/>
            </w:tcMar>
            <w:shd w:fill="EDF3EF"/>
          </w:tcPr>
          <w:p>
            <w:pPr>
              <w:spacing w:before="0" w:after="0" w:line="228" w:lineRule="auto"/>
            </w:pPr>
            <w:r>
              <w:rPr>
                <w:rFonts w:ascii="Arial" w:hAnsi="Arial"/>
                <w:b/>
                <w:color w:val="18231F"/>
                <w:sz w:val="14"/>
              </w:rPr>
              <w:t>2026 Preliminary Task 1 - Research Assignment</w:t>
              <w:br/>
              <w:t>Formal school assessment notice</w:t>
            </w:r>
          </w:p>
        </w:tc>
        <w:tc>
          <w:tcPr>
            <w:tcW w:type="dxa" w:w="4989"/>
            <w:tcMar>
              <w:top w:w="70" w:type="dxa"/>
              <w:start w:w="90" w:type="dxa"/>
              <w:bottom w:w="70" w:type="dxa"/>
              <w:end w:w="90" w:type="dxa"/>
            </w:tcMar>
            <w:shd w:fill="EDF3EF"/>
          </w:tcPr>
          <w:p>
            <w:pPr>
              <w:spacing w:before="0" w:after="0" w:line="228" w:lineRule="auto"/>
            </w:pPr>
            <w:r>
              <w:rPr>
                <w:rFonts w:ascii="Arial" w:hAnsi="Arial"/>
                <w:b w:val="0"/>
                <w:color w:val="18231F"/>
                <w:sz w:val="14"/>
              </w:rPr>
              <w:t>Research Assignment project page, confirmed 35% weighting, outcomes and communication requirements</w:t>
            </w:r>
          </w:p>
        </w:tc>
        <w:tc>
          <w:tcPr>
            <w:tcW w:type="dxa" w:w="4932"/>
            <w:tcMar>
              <w:top w:w="70" w:type="dxa"/>
              <w:start w:w="90" w:type="dxa"/>
              <w:bottom w:w="70" w:type="dxa"/>
              <w:end w:w="90" w:type="dxa"/>
            </w:tcMar>
            <w:shd w:fill="EDF3EF"/>
          </w:tcPr>
          <w:p>
            <w:pPr>
              <w:spacing w:before="0" w:after="0" w:line="228" w:lineRule="auto"/>
            </w:pPr>
            <w:r>
              <w:rPr>
                <w:rFonts w:ascii="Arial" w:hAnsi="Arial"/>
                <w:b w:val="0"/>
                <w:color w:val="18231F"/>
                <w:sz w:val="14"/>
              </w:rPr>
              <w:t>2026 source record - current notice remains authority</w:t>
            </w:r>
          </w:p>
        </w:tc>
        <w:tc>
          <w:tcPr>
            <w:tcW w:type="dxa" w:w="1701"/>
            <w:tcMar>
              <w:top w:w="70" w:type="dxa"/>
              <w:start w:w="90" w:type="dxa"/>
              <w:bottom w:w="70" w:type="dxa"/>
              <w:end w:w="90" w:type="dxa"/>
            </w:tcMar>
            <w:shd w:fill="EDF3EF"/>
          </w:tcPr>
          <w:p>
            <w:hyperlink r:id="rId12">
              <w:r>
                <w:rPr>
                  <w:color w:val="173A32"/>
                  <w:u w:val="single"/>
                </w:rPr>
                <w:t>Open source</w:t>
              </w:r>
            </w:hyperlink>
          </w:p>
        </w:tc>
      </w:tr>
      <w:tr>
        <w:trPr>
          <w:cantSplit/>
        </w:trPr>
        <w:tc>
          <w:tcPr>
            <w:tcW w:type="dxa" w:w="3572"/>
            <w:tcMar>
              <w:top w:w="70" w:type="dxa"/>
              <w:start w:w="90" w:type="dxa"/>
              <w:bottom w:w="70" w:type="dxa"/>
              <w:end w:w="90" w:type="dxa"/>
            </w:tcMar>
            <w:shd w:fill="FFFFFF"/>
          </w:tcPr>
          <w:p>
            <w:pPr>
              <w:spacing w:before="0" w:after="0" w:line="228" w:lineRule="auto"/>
            </w:pPr>
            <w:r>
              <w:rPr>
                <w:rFonts w:ascii="Arial" w:hAnsi="Arial"/>
                <w:b/>
                <w:color w:val="18231F"/>
                <w:sz w:val="14"/>
              </w:rPr>
              <w:t>Year 11 Design and Technology - Project 1: The Kitchen Companion</w:t>
              <w:br/>
              <w:t>Teacher-approved course project brief</w:t>
            </w:r>
          </w:p>
        </w:tc>
        <w:tc>
          <w:tcPr>
            <w:tcW w:type="dxa" w:w="4989"/>
            <w:tcMar>
              <w:top w:w="70" w:type="dxa"/>
              <w:start w:w="90" w:type="dxa"/>
              <w:bottom w:w="70" w:type="dxa"/>
              <w:end w:w="90" w:type="dxa"/>
            </w:tcMar>
            <w:shd w:fill="FFFFFF"/>
          </w:tcPr>
          <w:p>
            <w:pPr>
              <w:spacing w:before="0" w:after="0" w:line="228" w:lineRule="auto"/>
            </w:pPr>
            <w:r>
              <w:rPr>
                <w:rFonts w:ascii="Arial" w:hAnsi="Arial"/>
                <w:b w:val="0"/>
                <w:color w:val="18231F"/>
                <w:sz w:val="14"/>
              </w:rPr>
              <w:t>Collaborative design, Six Thinking Hats, CAD, 3D printing, 0.2 mm moving-part tolerance and eight-page group folio</w:t>
            </w:r>
          </w:p>
        </w:tc>
        <w:tc>
          <w:tcPr>
            <w:tcW w:type="dxa" w:w="4932"/>
            <w:tcMar>
              <w:top w:w="70" w:type="dxa"/>
              <w:start w:w="90" w:type="dxa"/>
              <w:bottom w:w="70" w:type="dxa"/>
              <w:end w:w="90" w:type="dxa"/>
            </w:tcMar>
            <w:shd w:fill="FFFFFF"/>
          </w:tcPr>
          <w:p>
            <w:pPr>
              <w:spacing w:before="0" w:after="0" w:line="228" w:lineRule="auto"/>
            </w:pPr>
            <w:r>
              <w:rPr>
                <w:rFonts w:ascii="Arial" w:hAnsi="Arial"/>
                <w:b w:val="0"/>
                <w:color w:val="18231F"/>
                <w:sz w:val="14"/>
              </w:rPr>
              <w:t>Source brief</w:t>
            </w:r>
          </w:p>
        </w:tc>
        <w:tc>
          <w:tcPr>
            <w:tcW w:type="dxa" w:w="1701"/>
            <w:tcMar>
              <w:top w:w="70" w:type="dxa"/>
              <w:start w:w="90" w:type="dxa"/>
              <w:bottom w:w="70" w:type="dxa"/>
              <w:end w:w="90" w:type="dxa"/>
            </w:tcMar>
            <w:shd w:fill="FFFFFF"/>
          </w:tcPr>
          <w:p>
            <w:hyperlink r:id="rId13">
              <w:r>
                <w:rPr>
                  <w:color w:val="173A32"/>
                  <w:u w:val="single"/>
                </w:rPr>
                <w:t>Open source</w:t>
              </w:r>
            </w:hyperlink>
          </w:p>
        </w:tc>
      </w:tr>
      <w:tr>
        <w:trPr>
          <w:cantSplit/>
        </w:trPr>
        <w:tc>
          <w:tcPr>
            <w:tcW w:type="dxa" w:w="3572"/>
            <w:tcMar>
              <w:top w:w="70" w:type="dxa"/>
              <w:start w:w="90" w:type="dxa"/>
              <w:bottom w:w="70" w:type="dxa"/>
              <w:end w:w="90" w:type="dxa"/>
            </w:tcMar>
            <w:shd w:fill="EDF3EF"/>
          </w:tcPr>
          <w:p>
            <w:pPr>
              <w:spacing w:before="0" w:after="0" w:line="228" w:lineRule="auto"/>
            </w:pPr>
            <w:r>
              <w:rPr>
                <w:rFonts w:ascii="Arial" w:hAnsi="Arial"/>
                <w:b/>
                <w:color w:val="18231F"/>
                <w:sz w:val="14"/>
              </w:rPr>
              <w:t>2026 Preliminary Task 2 - Camping Environment</w:t>
              <w:br/>
              <w:t>Formal school assessment notice</w:t>
            </w:r>
          </w:p>
        </w:tc>
        <w:tc>
          <w:tcPr>
            <w:tcW w:type="dxa" w:w="4989"/>
            <w:tcMar>
              <w:top w:w="70" w:type="dxa"/>
              <w:start w:w="90" w:type="dxa"/>
              <w:bottom w:w="70" w:type="dxa"/>
              <w:end w:w="90" w:type="dxa"/>
            </w:tcMar>
            <w:shd w:fill="EDF3EF"/>
          </w:tcPr>
          <w:p>
            <w:pPr>
              <w:spacing w:before="0" w:after="0" w:line="228" w:lineRule="auto"/>
            </w:pPr>
            <w:r>
              <w:rPr>
                <w:rFonts w:ascii="Arial" w:hAnsi="Arial"/>
                <w:b w:val="0"/>
                <w:color w:val="18231F"/>
                <w:sz w:val="14"/>
              </w:rPr>
              <w:t>Camping project, confirmed 40% weighting, A$30 construction limit, compact/marketable criteria and MDP-aligned folio structure</w:t>
            </w:r>
          </w:p>
        </w:tc>
        <w:tc>
          <w:tcPr>
            <w:tcW w:type="dxa" w:w="4932"/>
            <w:tcMar>
              <w:top w:w="70" w:type="dxa"/>
              <w:start w:w="90" w:type="dxa"/>
              <w:bottom w:w="70" w:type="dxa"/>
              <w:end w:w="90" w:type="dxa"/>
            </w:tcMar>
            <w:shd w:fill="EDF3EF"/>
          </w:tcPr>
          <w:p>
            <w:pPr>
              <w:spacing w:before="0" w:after="0" w:line="228" w:lineRule="auto"/>
            </w:pPr>
            <w:r>
              <w:rPr>
                <w:rFonts w:ascii="Arial" w:hAnsi="Arial"/>
                <w:b w:val="0"/>
                <w:color w:val="18231F"/>
                <w:sz w:val="14"/>
              </w:rPr>
              <w:t>2026 source record - current notice remains authority</w:t>
            </w:r>
          </w:p>
        </w:tc>
        <w:tc>
          <w:tcPr>
            <w:tcW w:type="dxa" w:w="1701"/>
            <w:tcMar>
              <w:top w:w="70" w:type="dxa"/>
              <w:start w:w="90" w:type="dxa"/>
              <w:bottom w:w="70" w:type="dxa"/>
              <w:end w:w="90" w:type="dxa"/>
            </w:tcMar>
            <w:shd w:fill="EDF3EF"/>
          </w:tcPr>
          <w:p>
            <w:hyperlink r:id="rId14">
              <w:r>
                <w:rPr>
                  <w:color w:val="173A32"/>
                  <w:u w:val="single"/>
                </w:rPr>
                <w:t>Open source</w:t>
              </w:r>
            </w:hyperlink>
          </w:p>
        </w:tc>
      </w:tr>
      <w:tr>
        <w:trPr>
          <w:cantSplit/>
        </w:trPr>
        <w:tc>
          <w:tcPr>
            <w:tcW w:type="dxa" w:w="3572"/>
            <w:tcMar>
              <w:top w:w="70" w:type="dxa"/>
              <w:start w:w="90" w:type="dxa"/>
              <w:bottom w:w="70" w:type="dxa"/>
              <w:end w:w="90" w:type="dxa"/>
            </w:tcMar>
            <w:shd w:fill="FFFFFF"/>
          </w:tcPr>
          <w:p>
            <w:pPr>
              <w:spacing w:before="0" w:after="0" w:line="228" w:lineRule="auto"/>
            </w:pPr>
            <w:r>
              <w:rPr>
                <w:rFonts w:ascii="Arial" w:hAnsi="Arial"/>
                <w:b/>
                <w:color w:val="18231F"/>
                <w:sz w:val="14"/>
              </w:rPr>
              <w:t>Design Technology Preliminary Teacher Answer Booklet</w:t>
              <w:br/>
              <w:t>Teacher-authored course support</w:t>
            </w:r>
          </w:p>
        </w:tc>
        <w:tc>
          <w:tcPr>
            <w:tcW w:type="dxa" w:w="4989"/>
            <w:tcMar>
              <w:top w:w="70" w:type="dxa"/>
              <w:start w:w="90" w:type="dxa"/>
              <w:bottom w:w="70" w:type="dxa"/>
              <w:end w:w="90" w:type="dxa"/>
            </w:tcMar>
            <w:shd w:fill="FFFFFF"/>
          </w:tcPr>
          <w:p>
            <w:pPr>
              <w:spacing w:before="0" w:after="0" w:line="228" w:lineRule="auto"/>
            </w:pPr>
            <w:r>
              <w:rPr>
                <w:rFonts w:ascii="Arial" w:hAnsi="Arial"/>
                <w:b w:val="0"/>
                <w:color w:val="18231F"/>
                <w:sz w:val="14"/>
              </w:rPr>
              <w:t>Course terminology, command verbs, exam response quality, design factors, research, WHS, CAD/CAM/CNC, sustainability and evaluation</w:t>
            </w:r>
          </w:p>
        </w:tc>
        <w:tc>
          <w:tcPr>
            <w:tcW w:type="dxa" w:w="4932"/>
            <w:tcMar>
              <w:top w:w="70" w:type="dxa"/>
              <w:start w:w="90" w:type="dxa"/>
              <w:bottom w:w="70" w:type="dxa"/>
              <w:end w:w="90" w:type="dxa"/>
            </w:tcMar>
            <w:shd w:fill="FFFFFF"/>
          </w:tcPr>
          <w:p>
            <w:pPr>
              <w:spacing w:before="0" w:after="0" w:line="228" w:lineRule="auto"/>
            </w:pPr>
            <w:r>
              <w:rPr>
                <w:rFonts w:ascii="Arial" w:hAnsi="Arial"/>
                <w:b w:val="0"/>
                <w:color w:val="18231F"/>
                <w:sz w:val="14"/>
              </w:rPr>
              <w:t>Indicative/model answers; not the only acceptable answers</w:t>
            </w:r>
          </w:p>
        </w:tc>
        <w:tc>
          <w:tcPr>
            <w:tcW w:type="dxa" w:w="1701"/>
            <w:tcMar>
              <w:top w:w="70" w:type="dxa"/>
              <w:start w:w="90" w:type="dxa"/>
              <w:bottom w:w="70" w:type="dxa"/>
              <w:end w:w="90" w:type="dxa"/>
            </w:tcMar>
            <w:shd w:fill="FFFFFF"/>
          </w:tcPr>
          <w:p>
            <w:hyperlink r:id="rId16">
              <w:r>
                <w:rPr>
                  <w:color w:val="173A32"/>
                  <w:u w:val="single"/>
                </w:rPr>
                <w:t>Open source</w:t>
              </w:r>
            </w:hyperlink>
          </w:p>
        </w:tc>
      </w:tr>
      <w:tr>
        <w:trPr>
          <w:cantSplit/>
        </w:trPr>
        <w:tc>
          <w:tcPr>
            <w:tcW w:type="dxa" w:w="3572"/>
            <w:tcMar>
              <w:top w:w="70" w:type="dxa"/>
              <w:start w:w="90" w:type="dxa"/>
              <w:bottom w:w="70" w:type="dxa"/>
              <w:end w:w="90" w:type="dxa"/>
            </w:tcMar>
            <w:shd w:fill="EDF3EF"/>
          </w:tcPr>
          <w:p>
            <w:pPr>
              <w:spacing w:before="0" w:after="0" w:line="228" w:lineRule="auto"/>
            </w:pPr>
            <w:r>
              <w:rPr>
                <w:rFonts w:ascii="Arial" w:hAnsi="Arial"/>
                <w:b/>
                <w:color w:val="18231F"/>
                <w:sz w:val="14"/>
              </w:rPr>
              <w:t>Intro to Basic Sketching</w:t>
              <w:br/>
              <w:t>Teacher-curated resource folder</w:t>
            </w:r>
          </w:p>
        </w:tc>
        <w:tc>
          <w:tcPr>
            <w:tcW w:type="dxa" w:w="4989"/>
            <w:tcMar>
              <w:top w:w="70" w:type="dxa"/>
              <w:start w:w="90" w:type="dxa"/>
              <w:bottom w:w="70" w:type="dxa"/>
              <w:end w:w="90" w:type="dxa"/>
            </w:tcMar>
            <w:shd w:fill="EDF3EF"/>
          </w:tcPr>
          <w:p>
            <w:pPr>
              <w:spacing w:before="0" w:after="0" w:line="228" w:lineRule="auto"/>
            </w:pPr>
            <w:r>
              <w:rPr>
                <w:rFonts w:ascii="Arial" w:hAnsi="Arial"/>
                <w:b w:val="0"/>
                <w:color w:val="18231F"/>
                <w:sz w:val="14"/>
              </w:rPr>
              <w:t>Graphical communication and sketching practice</w:t>
            </w:r>
          </w:p>
        </w:tc>
        <w:tc>
          <w:tcPr>
            <w:tcW w:type="dxa" w:w="4932"/>
            <w:tcMar>
              <w:top w:w="70" w:type="dxa"/>
              <w:start w:w="90" w:type="dxa"/>
              <w:bottom w:w="70" w:type="dxa"/>
              <w:end w:w="90" w:type="dxa"/>
            </w:tcMar>
            <w:shd w:fill="EDF3EF"/>
          </w:tcPr>
          <w:p>
            <w:pPr>
              <w:spacing w:before="0" w:after="0" w:line="228" w:lineRule="auto"/>
            </w:pPr>
            <w:r>
              <w:rPr>
                <w:rFonts w:ascii="Arial" w:hAnsi="Arial"/>
                <w:b w:val="0"/>
                <w:color w:val="18231F"/>
                <w:sz w:val="14"/>
              </w:rPr>
              <w:t>Drive permissions apply</w:t>
            </w:r>
          </w:p>
        </w:tc>
        <w:tc>
          <w:tcPr>
            <w:tcW w:type="dxa" w:w="1701"/>
            <w:tcMar>
              <w:top w:w="70" w:type="dxa"/>
              <w:start w:w="90" w:type="dxa"/>
              <w:bottom w:w="70" w:type="dxa"/>
              <w:end w:w="90" w:type="dxa"/>
            </w:tcMar>
            <w:shd w:fill="EDF3EF"/>
          </w:tcPr>
          <w:p>
            <w:hyperlink r:id="rId17">
              <w:r>
                <w:rPr>
                  <w:color w:val="173A32"/>
                  <w:u w:val="single"/>
                </w:rPr>
                <w:t>Open source</w:t>
              </w:r>
            </w:hyperlink>
          </w:p>
        </w:tc>
      </w:tr>
      <w:tr>
        <w:trPr>
          <w:cantSplit/>
        </w:trPr>
        <w:tc>
          <w:tcPr>
            <w:tcW w:type="dxa" w:w="3572"/>
            <w:tcMar>
              <w:top w:w="70" w:type="dxa"/>
              <w:start w:w="90" w:type="dxa"/>
              <w:bottom w:w="70" w:type="dxa"/>
              <w:end w:w="90" w:type="dxa"/>
            </w:tcMar>
            <w:shd w:fill="FFFFFF"/>
          </w:tcPr>
          <w:p>
            <w:pPr>
              <w:spacing w:before="0" w:after="0" w:line="228" w:lineRule="auto"/>
            </w:pPr>
            <w:r>
              <w:rPr>
                <w:rFonts w:ascii="Arial" w:hAnsi="Arial"/>
                <w:b/>
                <w:color w:val="18231F"/>
                <w:sz w:val="14"/>
              </w:rPr>
              <w:t>CAD competency check</w:t>
              <w:br/>
              <w:t>Teacher-curated resource folder</w:t>
            </w:r>
          </w:p>
        </w:tc>
        <w:tc>
          <w:tcPr>
            <w:tcW w:type="dxa" w:w="4989"/>
            <w:tcMar>
              <w:top w:w="70" w:type="dxa"/>
              <w:start w:w="90" w:type="dxa"/>
              <w:bottom w:w="70" w:type="dxa"/>
              <w:end w:w="90" w:type="dxa"/>
            </w:tcMar>
            <w:shd w:fill="FFFFFF"/>
          </w:tcPr>
          <w:p>
            <w:pPr>
              <w:spacing w:before="0" w:after="0" w:line="228" w:lineRule="auto"/>
            </w:pPr>
            <w:r>
              <w:rPr>
                <w:rFonts w:ascii="Arial" w:hAnsi="Arial"/>
                <w:b w:val="0"/>
                <w:color w:val="18231F"/>
                <w:sz w:val="14"/>
              </w:rPr>
              <w:t>CAD readiness and evidence</w:t>
            </w:r>
          </w:p>
        </w:tc>
        <w:tc>
          <w:tcPr>
            <w:tcW w:type="dxa" w:w="4932"/>
            <w:tcMar>
              <w:top w:w="70" w:type="dxa"/>
              <w:start w:w="90" w:type="dxa"/>
              <w:bottom w:w="70" w:type="dxa"/>
              <w:end w:w="90" w:type="dxa"/>
            </w:tcMar>
            <w:shd w:fill="FFFFFF"/>
          </w:tcPr>
          <w:p>
            <w:pPr>
              <w:spacing w:before="0" w:after="0" w:line="228" w:lineRule="auto"/>
            </w:pPr>
            <w:r>
              <w:rPr>
                <w:rFonts w:ascii="Arial" w:hAnsi="Arial"/>
                <w:b w:val="0"/>
                <w:color w:val="18231F"/>
                <w:sz w:val="14"/>
              </w:rPr>
              <w:t>Drive permissions apply</w:t>
            </w:r>
          </w:p>
        </w:tc>
        <w:tc>
          <w:tcPr>
            <w:tcW w:type="dxa" w:w="1701"/>
            <w:tcMar>
              <w:top w:w="70" w:type="dxa"/>
              <w:start w:w="90" w:type="dxa"/>
              <w:bottom w:w="70" w:type="dxa"/>
              <w:end w:w="90" w:type="dxa"/>
            </w:tcMar>
            <w:shd w:fill="FFFFFF"/>
          </w:tcPr>
          <w:p>
            <w:hyperlink r:id="rId18">
              <w:r>
                <w:rPr>
                  <w:color w:val="173A32"/>
                  <w:u w:val="single"/>
                </w:rPr>
                <w:t>Open source</w:t>
              </w:r>
            </w:hyperlink>
          </w:p>
        </w:tc>
      </w:tr>
      <w:tr>
        <w:trPr>
          <w:cantSplit/>
        </w:trPr>
        <w:tc>
          <w:tcPr>
            <w:tcW w:type="dxa" w:w="3572"/>
            <w:tcMar>
              <w:top w:w="70" w:type="dxa"/>
              <w:start w:w="90" w:type="dxa"/>
              <w:bottom w:w="70" w:type="dxa"/>
              <w:end w:w="90" w:type="dxa"/>
            </w:tcMar>
            <w:shd w:fill="EDF3EF"/>
          </w:tcPr>
          <w:p>
            <w:pPr>
              <w:spacing w:before="0" w:after="0" w:line="228" w:lineRule="auto"/>
            </w:pPr>
            <w:r>
              <w:rPr>
                <w:rFonts w:ascii="Arial" w:hAnsi="Arial"/>
                <w:b/>
                <w:color w:val="18231F"/>
                <w:sz w:val="14"/>
              </w:rPr>
              <w:t>Isometric and Oblique Technical Drawing guide</w:t>
              <w:br/>
              <w:t>Teacher-curated Drive resource</w:t>
            </w:r>
          </w:p>
        </w:tc>
        <w:tc>
          <w:tcPr>
            <w:tcW w:type="dxa" w:w="4989"/>
            <w:tcMar>
              <w:top w:w="70" w:type="dxa"/>
              <w:start w:w="90" w:type="dxa"/>
              <w:bottom w:w="70" w:type="dxa"/>
              <w:end w:w="90" w:type="dxa"/>
            </w:tcMar>
            <w:shd w:fill="EDF3EF"/>
          </w:tcPr>
          <w:p>
            <w:pPr>
              <w:spacing w:before="0" w:after="0" w:line="228" w:lineRule="auto"/>
            </w:pPr>
            <w:r>
              <w:rPr>
                <w:rFonts w:ascii="Arial" w:hAnsi="Arial"/>
                <w:b w:val="0"/>
                <w:color w:val="18231F"/>
                <w:sz w:val="14"/>
              </w:rPr>
              <w:t>Technical drawing support; not reproduced by this site</w:t>
            </w:r>
          </w:p>
        </w:tc>
        <w:tc>
          <w:tcPr>
            <w:tcW w:type="dxa" w:w="4932"/>
            <w:tcMar>
              <w:top w:w="70" w:type="dxa"/>
              <w:start w:w="90" w:type="dxa"/>
              <w:bottom w:w="70" w:type="dxa"/>
              <w:end w:w="90" w:type="dxa"/>
            </w:tcMar>
            <w:shd w:fill="EDF3EF"/>
          </w:tcPr>
          <w:p>
            <w:pPr>
              <w:spacing w:before="0" w:after="0" w:line="228" w:lineRule="auto"/>
            </w:pPr>
            <w:r>
              <w:rPr>
                <w:rFonts w:ascii="Arial" w:hAnsi="Arial"/>
                <w:b w:val="0"/>
                <w:color w:val="18231F"/>
                <w:sz w:val="14"/>
              </w:rPr>
              <w:t>Use within school permissions</w:t>
            </w:r>
          </w:p>
        </w:tc>
        <w:tc>
          <w:tcPr>
            <w:tcW w:type="dxa" w:w="1701"/>
            <w:tcMar>
              <w:top w:w="70" w:type="dxa"/>
              <w:start w:w="90" w:type="dxa"/>
              <w:bottom w:w="70" w:type="dxa"/>
              <w:end w:w="90" w:type="dxa"/>
            </w:tcMar>
            <w:shd w:fill="EDF3EF"/>
          </w:tcPr>
          <w:p>
            <w:hyperlink r:id="rId19">
              <w:r>
                <w:rPr>
                  <w:color w:val="173A32"/>
                  <w:u w:val="single"/>
                </w:rPr>
                <w:t>Open source</w:t>
              </w:r>
            </w:hyperlink>
          </w:p>
        </w:tc>
      </w:tr>
      <w:tr>
        <w:trPr>
          <w:cantSplit/>
        </w:trPr>
        <w:tc>
          <w:tcPr>
            <w:tcW w:type="dxa" w:w="3572"/>
            <w:tcMar>
              <w:top w:w="70" w:type="dxa"/>
              <w:start w:w="90" w:type="dxa"/>
              <w:bottom w:w="70" w:type="dxa"/>
              <w:end w:w="90" w:type="dxa"/>
            </w:tcMar>
            <w:shd w:fill="FFFFFF"/>
          </w:tcPr>
          <w:p>
            <w:pPr>
              <w:spacing w:before="0" w:after="0" w:line="228" w:lineRule="auto"/>
            </w:pPr>
            <w:r>
              <w:rPr>
                <w:rFonts w:ascii="Arial" w:hAnsi="Arial"/>
                <w:b/>
                <w:color w:val="18231F"/>
                <w:sz w:val="14"/>
              </w:rPr>
              <w:t>Isometric Drawing Guide video</w:t>
              <w:br/>
              <w:t>Teacher-curated Drive resource</w:t>
            </w:r>
          </w:p>
        </w:tc>
        <w:tc>
          <w:tcPr>
            <w:tcW w:type="dxa" w:w="4989"/>
            <w:tcMar>
              <w:top w:w="70" w:type="dxa"/>
              <w:start w:w="90" w:type="dxa"/>
              <w:bottom w:w="70" w:type="dxa"/>
              <w:end w:w="90" w:type="dxa"/>
            </w:tcMar>
            <w:shd w:fill="FFFFFF"/>
          </w:tcPr>
          <w:p>
            <w:pPr>
              <w:spacing w:before="0" w:after="0" w:line="228" w:lineRule="auto"/>
            </w:pPr>
            <w:r>
              <w:rPr>
                <w:rFonts w:ascii="Arial" w:hAnsi="Arial"/>
                <w:b w:val="0"/>
                <w:color w:val="18231F"/>
                <w:sz w:val="14"/>
              </w:rPr>
              <w:t>Technical drawing demonstration; not reproduced by this site</w:t>
            </w:r>
          </w:p>
        </w:tc>
        <w:tc>
          <w:tcPr>
            <w:tcW w:type="dxa" w:w="4932"/>
            <w:tcMar>
              <w:top w:w="70" w:type="dxa"/>
              <w:start w:w="90" w:type="dxa"/>
              <w:bottom w:w="70" w:type="dxa"/>
              <w:end w:w="90" w:type="dxa"/>
            </w:tcMar>
            <w:shd w:fill="FFFFFF"/>
          </w:tcPr>
          <w:p>
            <w:pPr>
              <w:spacing w:before="0" w:after="0" w:line="228" w:lineRule="auto"/>
            </w:pPr>
            <w:r>
              <w:rPr>
                <w:rFonts w:ascii="Arial" w:hAnsi="Arial"/>
                <w:b w:val="0"/>
                <w:color w:val="18231F"/>
                <w:sz w:val="14"/>
              </w:rPr>
              <w:t>Use within school permissions</w:t>
            </w:r>
          </w:p>
        </w:tc>
        <w:tc>
          <w:tcPr>
            <w:tcW w:type="dxa" w:w="1701"/>
            <w:tcMar>
              <w:top w:w="70" w:type="dxa"/>
              <w:start w:w="90" w:type="dxa"/>
              <w:bottom w:w="70" w:type="dxa"/>
              <w:end w:w="90" w:type="dxa"/>
            </w:tcMar>
            <w:shd w:fill="FFFFFF"/>
          </w:tcPr>
          <w:p>
            <w:hyperlink r:id="rId20">
              <w:r>
                <w:rPr>
                  <w:color w:val="173A32"/>
                  <w:u w:val="single"/>
                </w:rPr>
                <w:t>Open source</w:t>
              </w:r>
            </w:hyperlink>
          </w:p>
        </w:tc>
      </w:tr>
      <w:tr>
        <w:trPr>
          <w:cantSplit/>
        </w:trPr>
        <w:tc>
          <w:tcPr>
            <w:tcW w:type="dxa" w:w="3572"/>
            <w:tcMar>
              <w:top w:w="70" w:type="dxa"/>
              <w:start w:w="90" w:type="dxa"/>
              <w:bottom w:w="70" w:type="dxa"/>
              <w:end w:w="90" w:type="dxa"/>
            </w:tcMar>
            <w:shd w:fill="EDF3EF"/>
          </w:tcPr>
          <w:p>
            <w:pPr>
              <w:spacing w:before="0" w:after="0" w:line="228" w:lineRule="auto"/>
            </w:pPr>
            <w:r>
              <w:rPr>
                <w:rFonts w:ascii="Arial" w:hAnsi="Arial"/>
                <w:b/>
                <w:color w:val="18231F"/>
                <w:sz w:val="14"/>
              </w:rPr>
              <w:t>OnGuard safety resources</w:t>
              <w:br/>
              <w:t>School safety resource folder</w:t>
            </w:r>
          </w:p>
        </w:tc>
        <w:tc>
          <w:tcPr>
            <w:tcW w:type="dxa" w:w="4989"/>
            <w:tcMar>
              <w:top w:w="70" w:type="dxa"/>
              <w:start w:w="90" w:type="dxa"/>
              <w:bottom w:w="70" w:type="dxa"/>
              <w:end w:w="90" w:type="dxa"/>
            </w:tcMar>
            <w:shd w:fill="EDF3EF"/>
          </w:tcPr>
          <w:p>
            <w:pPr>
              <w:spacing w:before="0" w:after="0" w:line="228" w:lineRule="auto"/>
            </w:pPr>
            <w:r>
              <w:rPr>
                <w:rFonts w:ascii="Arial" w:hAnsi="Arial"/>
                <w:b w:val="0"/>
                <w:color w:val="18231F"/>
                <w:sz w:val="14"/>
              </w:rPr>
              <w:t>Links only; site does not replace induction, SOPs or supervision</w:t>
            </w:r>
          </w:p>
        </w:tc>
        <w:tc>
          <w:tcPr>
            <w:tcW w:type="dxa" w:w="4932"/>
            <w:tcMar>
              <w:top w:w="70" w:type="dxa"/>
              <w:start w:w="90" w:type="dxa"/>
              <w:bottom w:w="70" w:type="dxa"/>
              <w:end w:w="90" w:type="dxa"/>
            </w:tcMar>
            <w:shd w:fill="EDF3EF"/>
          </w:tcPr>
          <w:p>
            <w:pPr>
              <w:spacing w:before="0" w:after="0" w:line="228" w:lineRule="auto"/>
            </w:pPr>
            <w:r>
              <w:rPr>
                <w:rFonts w:ascii="Arial" w:hAnsi="Arial"/>
                <w:b w:val="0"/>
                <w:color w:val="18231F"/>
                <w:sz w:val="14"/>
              </w:rPr>
              <w:t>Current local procedures and teacher approval remain authority</w:t>
            </w:r>
          </w:p>
        </w:tc>
        <w:tc>
          <w:tcPr>
            <w:tcW w:type="dxa" w:w="1701"/>
            <w:tcMar>
              <w:top w:w="70" w:type="dxa"/>
              <w:start w:w="90" w:type="dxa"/>
              <w:bottom w:w="70" w:type="dxa"/>
              <w:end w:w="90" w:type="dxa"/>
            </w:tcMar>
            <w:shd w:fill="EDF3EF"/>
          </w:tcPr>
          <w:p>
            <w:hyperlink r:id="rId21">
              <w:r>
                <w:rPr>
                  <w:color w:val="173A32"/>
                  <w:u w:val="single"/>
                </w:rPr>
                <w:t>Open source</w:t>
              </w:r>
            </w:hyperlink>
          </w:p>
        </w:tc>
      </w:tr>
      <w:tr>
        <w:trPr>
          <w:cantSplit/>
        </w:trPr>
        <w:tc>
          <w:tcPr>
            <w:tcW w:type="dxa" w:w="3572"/>
            <w:tcMar>
              <w:top w:w="70" w:type="dxa"/>
              <w:start w:w="90" w:type="dxa"/>
              <w:bottom w:w="70" w:type="dxa"/>
              <w:end w:w="90" w:type="dxa"/>
            </w:tcMar>
            <w:shd w:fill="FFFFFF"/>
          </w:tcPr>
          <w:p>
            <w:pPr>
              <w:spacing w:before="0" w:after="0" w:line="228" w:lineRule="auto"/>
            </w:pPr>
            <w:r>
              <w:rPr>
                <w:rFonts w:ascii="Arial" w:hAnsi="Arial"/>
                <w:b/>
                <w:color w:val="18231F"/>
                <w:sz w:val="14"/>
              </w:rPr>
              <w:t>Market Research 2024 presentation</w:t>
              <w:br/>
              <w:t>Teacher-curated learning resource</w:t>
            </w:r>
          </w:p>
        </w:tc>
        <w:tc>
          <w:tcPr>
            <w:tcW w:type="dxa" w:w="4989"/>
            <w:tcMar>
              <w:top w:w="70" w:type="dxa"/>
              <w:start w:w="90" w:type="dxa"/>
              <w:bottom w:w="70" w:type="dxa"/>
              <w:end w:w="90" w:type="dxa"/>
            </w:tcMar>
            <w:shd w:fill="FFFFFF"/>
          </w:tcPr>
          <w:p>
            <w:pPr>
              <w:spacing w:before="0" w:after="0" w:line="228" w:lineRule="auto"/>
            </w:pPr>
            <w:r>
              <w:rPr>
                <w:rFonts w:ascii="Arial" w:hAnsi="Arial"/>
                <w:b w:val="0"/>
                <w:color w:val="18231F"/>
                <w:sz w:val="14"/>
              </w:rPr>
              <w:t>Primary/secondary and market research support</w:t>
            </w:r>
          </w:p>
        </w:tc>
        <w:tc>
          <w:tcPr>
            <w:tcW w:type="dxa" w:w="4932"/>
            <w:tcMar>
              <w:top w:w="70" w:type="dxa"/>
              <w:start w:w="90" w:type="dxa"/>
              <w:bottom w:w="70" w:type="dxa"/>
              <w:end w:w="90" w:type="dxa"/>
            </w:tcMar>
            <w:shd w:fill="FFFFFF"/>
          </w:tcPr>
          <w:p>
            <w:pPr>
              <w:spacing w:before="0" w:after="0" w:line="228" w:lineRule="auto"/>
            </w:pPr>
            <w:r>
              <w:rPr>
                <w:rFonts w:ascii="Arial" w:hAnsi="Arial"/>
                <w:b w:val="0"/>
                <w:color w:val="18231F"/>
                <w:sz w:val="14"/>
              </w:rPr>
              <w:t>Drive permissions apply</w:t>
            </w:r>
          </w:p>
        </w:tc>
        <w:tc>
          <w:tcPr>
            <w:tcW w:type="dxa" w:w="1701"/>
            <w:tcMar>
              <w:top w:w="70" w:type="dxa"/>
              <w:start w:w="90" w:type="dxa"/>
              <w:bottom w:w="70" w:type="dxa"/>
              <w:end w:w="90" w:type="dxa"/>
            </w:tcMar>
            <w:shd w:fill="FFFFFF"/>
          </w:tcPr>
          <w:p>
            <w:hyperlink r:id="rId22">
              <w:r>
                <w:rPr>
                  <w:color w:val="173A32"/>
                  <w:u w:val="single"/>
                </w:rPr>
                <w:t>Open source</w:t>
              </w:r>
            </w:hyperlink>
          </w:p>
        </w:tc>
      </w:tr>
      <w:tr>
        <w:trPr>
          <w:cantSplit/>
        </w:trPr>
        <w:tc>
          <w:tcPr>
            <w:tcW w:type="dxa" w:w="3572"/>
            <w:tcMar>
              <w:top w:w="70" w:type="dxa"/>
              <w:start w:w="90" w:type="dxa"/>
              <w:bottom w:w="70" w:type="dxa"/>
              <w:end w:w="90" w:type="dxa"/>
            </w:tcMar>
            <w:shd w:fill="EDF3EF"/>
          </w:tcPr>
          <w:p>
            <w:pPr>
              <w:spacing w:before="0" w:after="0" w:line="228" w:lineRule="auto"/>
            </w:pPr>
            <w:r>
              <w:rPr>
                <w:rFonts w:ascii="Arial" w:hAnsi="Arial"/>
                <w:b/>
                <w:color w:val="18231F"/>
                <w:sz w:val="14"/>
              </w:rPr>
              <w:t>Factors Affecting Design 2024 presentation</w:t>
              <w:br/>
              <w:t>Teacher-curated learning resource</w:t>
            </w:r>
          </w:p>
        </w:tc>
        <w:tc>
          <w:tcPr>
            <w:tcW w:type="dxa" w:w="4989"/>
            <w:tcMar>
              <w:top w:w="70" w:type="dxa"/>
              <w:start w:w="90" w:type="dxa"/>
              <w:bottom w:w="70" w:type="dxa"/>
              <w:end w:w="90" w:type="dxa"/>
            </w:tcMar>
            <w:shd w:fill="EDF3EF"/>
          </w:tcPr>
          <w:p>
            <w:pPr>
              <w:spacing w:before="0" w:after="0" w:line="228" w:lineRule="auto"/>
            </w:pPr>
            <w:r>
              <w:rPr>
                <w:rFonts w:ascii="Arial" w:hAnsi="Arial"/>
                <w:b w:val="0"/>
                <w:color w:val="18231F"/>
                <w:sz w:val="14"/>
              </w:rPr>
              <w:t>Design factors and trade-off support</w:t>
            </w:r>
          </w:p>
        </w:tc>
        <w:tc>
          <w:tcPr>
            <w:tcW w:type="dxa" w:w="4932"/>
            <w:tcMar>
              <w:top w:w="70" w:type="dxa"/>
              <w:start w:w="90" w:type="dxa"/>
              <w:bottom w:w="70" w:type="dxa"/>
              <w:end w:w="90" w:type="dxa"/>
            </w:tcMar>
            <w:shd w:fill="EDF3EF"/>
          </w:tcPr>
          <w:p>
            <w:pPr>
              <w:spacing w:before="0" w:after="0" w:line="228" w:lineRule="auto"/>
            </w:pPr>
            <w:r>
              <w:rPr>
                <w:rFonts w:ascii="Arial" w:hAnsi="Arial"/>
                <w:b w:val="0"/>
                <w:color w:val="18231F"/>
                <w:sz w:val="14"/>
              </w:rPr>
              <w:t>Drive permissions apply</w:t>
            </w:r>
          </w:p>
        </w:tc>
        <w:tc>
          <w:tcPr>
            <w:tcW w:type="dxa" w:w="1701"/>
            <w:tcMar>
              <w:top w:w="70" w:type="dxa"/>
              <w:start w:w="90" w:type="dxa"/>
              <w:bottom w:w="70" w:type="dxa"/>
              <w:end w:w="90" w:type="dxa"/>
            </w:tcMar>
            <w:shd w:fill="EDF3EF"/>
          </w:tcPr>
          <w:p>
            <w:hyperlink r:id="rId23">
              <w:r>
                <w:rPr>
                  <w:color w:val="173A32"/>
                  <w:u w:val="single"/>
                </w:rPr>
                <w:t>Open source</w:t>
              </w:r>
            </w:hyperlink>
          </w:p>
        </w:tc>
      </w:tr>
      <w:tr>
        <w:trPr>
          <w:cantSplit/>
        </w:trPr>
        <w:tc>
          <w:tcPr>
            <w:tcW w:type="dxa" w:w="3572"/>
            <w:tcMar>
              <w:top w:w="70" w:type="dxa"/>
              <w:start w:w="90" w:type="dxa"/>
              <w:bottom w:w="70" w:type="dxa"/>
              <w:end w:w="90" w:type="dxa"/>
            </w:tcMar>
            <w:shd w:fill="FFFFFF"/>
          </w:tcPr>
          <w:p>
            <w:pPr>
              <w:spacing w:before="0" w:after="0" w:line="228" w:lineRule="auto"/>
            </w:pPr>
            <w:r>
              <w:rPr>
                <w:rFonts w:ascii="Arial" w:hAnsi="Arial"/>
                <w:b/>
                <w:color w:val="18231F"/>
                <w:sz w:val="14"/>
              </w:rPr>
              <w:t>Finance Plan worksheet</w:t>
              <w:br/>
              <w:t>Teacher-curated learning resource</w:t>
            </w:r>
          </w:p>
        </w:tc>
        <w:tc>
          <w:tcPr>
            <w:tcW w:type="dxa" w:w="4989"/>
            <w:tcMar>
              <w:top w:w="70" w:type="dxa"/>
              <w:start w:w="90" w:type="dxa"/>
              <w:bottom w:w="70" w:type="dxa"/>
              <w:end w:w="90" w:type="dxa"/>
            </w:tcMar>
            <w:shd w:fill="FFFFFF"/>
          </w:tcPr>
          <w:p>
            <w:pPr>
              <w:spacing w:before="0" w:after="0" w:line="228" w:lineRule="auto"/>
            </w:pPr>
            <w:r>
              <w:rPr>
                <w:rFonts w:ascii="Arial" w:hAnsi="Arial"/>
                <w:b w:val="0"/>
                <w:color w:val="18231F"/>
                <w:sz w:val="14"/>
              </w:rPr>
              <w:t>Project cost and resource planning</w:t>
            </w:r>
          </w:p>
        </w:tc>
        <w:tc>
          <w:tcPr>
            <w:tcW w:type="dxa" w:w="4932"/>
            <w:tcMar>
              <w:top w:w="70" w:type="dxa"/>
              <w:start w:w="90" w:type="dxa"/>
              <w:bottom w:w="70" w:type="dxa"/>
              <w:end w:w="90" w:type="dxa"/>
            </w:tcMar>
            <w:shd w:fill="FFFFFF"/>
          </w:tcPr>
          <w:p>
            <w:pPr>
              <w:spacing w:before="0" w:after="0" w:line="228" w:lineRule="auto"/>
            </w:pPr>
            <w:r>
              <w:rPr>
                <w:rFonts w:ascii="Arial" w:hAnsi="Arial"/>
                <w:b w:val="0"/>
                <w:color w:val="18231F"/>
                <w:sz w:val="14"/>
              </w:rPr>
              <w:t>Drive permissions apply</w:t>
            </w:r>
          </w:p>
        </w:tc>
        <w:tc>
          <w:tcPr>
            <w:tcW w:type="dxa" w:w="1701"/>
            <w:tcMar>
              <w:top w:w="70" w:type="dxa"/>
              <w:start w:w="90" w:type="dxa"/>
              <w:bottom w:w="70" w:type="dxa"/>
              <w:end w:w="90" w:type="dxa"/>
            </w:tcMar>
            <w:shd w:fill="FFFFFF"/>
          </w:tcPr>
          <w:p>
            <w:hyperlink r:id="rId24">
              <w:r>
                <w:rPr>
                  <w:color w:val="173A32"/>
                  <w:u w:val="single"/>
                </w:rPr>
                <w:t>Open source</w:t>
              </w:r>
            </w:hyperlink>
          </w:p>
        </w:tc>
      </w:tr>
      <w:tr>
        <w:trPr>
          <w:cantSplit/>
        </w:trPr>
        <w:tc>
          <w:tcPr>
            <w:tcW w:type="dxa" w:w="3572"/>
            <w:tcMar>
              <w:top w:w="70" w:type="dxa"/>
              <w:start w:w="90" w:type="dxa"/>
              <w:bottom w:w="70" w:type="dxa"/>
              <w:end w:w="90" w:type="dxa"/>
            </w:tcMar>
            <w:shd w:fill="EDF3EF"/>
          </w:tcPr>
          <w:p>
            <w:pPr>
              <w:spacing w:before="0" w:after="0" w:line="228" w:lineRule="auto"/>
            </w:pPr>
            <w:r>
              <w:rPr>
                <w:rFonts w:ascii="Arial" w:hAnsi="Arial"/>
                <w:b/>
                <w:color w:val="18231F"/>
                <w:sz w:val="14"/>
              </w:rPr>
              <w:t>The 4 Ps resources</w:t>
              <w:br/>
              <w:t>Teacher-curated learning resource folder</w:t>
            </w:r>
          </w:p>
        </w:tc>
        <w:tc>
          <w:tcPr>
            <w:tcW w:type="dxa" w:w="4989"/>
            <w:tcMar>
              <w:top w:w="70" w:type="dxa"/>
              <w:start w:w="90" w:type="dxa"/>
              <w:bottom w:w="70" w:type="dxa"/>
              <w:end w:w="90" w:type="dxa"/>
            </w:tcMar>
            <w:shd w:fill="EDF3EF"/>
          </w:tcPr>
          <w:p>
            <w:pPr>
              <w:spacing w:before="0" w:after="0" w:line="228" w:lineRule="auto"/>
            </w:pPr>
            <w:r>
              <w:rPr>
                <w:rFonts w:ascii="Arial" w:hAnsi="Arial"/>
                <w:b w:val="0"/>
                <w:color w:val="18231F"/>
                <w:sz w:val="14"/>
              </w:rPr>
              <w:t>Product, price, place and promotion</w:t>
            </w:r>
          </w:p>
        </w:tc>
        <w:tc>
          <w:tcPr>
            <w:tcW w:type="dxa" w:w="4932"/>
            <w:tcMar>
              <w:top w:w="70" w:type="dxa"/>
              <w:start w:w="90" w:type="dxa"/>
              <w:bottom w:w="70" w:type="dxa"/>
              <w:end w:w="90" w:type="dxa"/>
            </w:tcMar>
            <w:shd w:fill="EDF3EF"/>
          </w:tcPr>
          <w:p>
            <w:pPr>
              <w:spacing w:before="0" w:after="0" w:line="228" w:lineRule="auto"/>
            </w:pPr>
            <w:r>
              <w:rPr>
                <w:rFonts w:ascii="Arial" w:hAnsi="Arial"/>
                <w:b w:val="0"/>
                <w:color w:val="18231F"/>
                <w:sz w:val="14"/>
              </w:rPr>
              <w:t>Drive permissions apply</w:t>
            </w:r>
          </w:p>
        </w:tc>
        <w:tc>
          <w:tcPr>
            <w:tcW w:type="dxa" w:w="1701"/>
            <w:tcMar>
              <w:top w:w="70" w:type="dxa"/>
              <w:start w:w="90" w:type="dxa"/>
              <w:bottom w:w="70" w:type="dxa"/>
              <w:end w:w="90" w:type="dxa"/>
            </w:tcMar>
            <w:shd w:fill="EDF3EF"/>
          </w:tcPr>
          <w:p>
            <w:hyperlink r:id="rId25">
              <w:r>
                <w:rPr>
                  <w:color w:val="173A32"/>
                  <w:u w:val="single"/>
                </w:rPr>
                <w:t>Open source</w:t>
              </w:r>
            </w:hyperlink>
          </w:p>
        </w:tc>
      </w:tr>
    </w:tbl>
    <w:p>
      <w:r>
        <w:br w:type="page"/>
      </w:r>
    </w:p>
    <w:p>
      <w:pPr>
        <w:pStyle w:val="Heading1"/>
      </w:pPr>
      <w:r>
        <w:t>Deliberate exclusions</w:t>
      </w:r>
    </w:p>
    <w:p>
      <w:pPr>
        <w:spacing w:before="0" w:after="40" w:line="240" w:lineRule="auto"/>
        <w:ind w:left="227" w:hanging="170"/>
      </w:pPr>
      <w:r>
        <w:rPr>
          <w:rFonts w:ascii="Arial" w:hAnsi="Arial"/>
          <w:b w:val="0"/>
          <w:color w:val="18231F"/>
          <w:sz w:val="16"/>
        </w:rPr>
        <w:t>• Student folios, student names and assessed student products were not used as site or program content.</w:t>
      </w:r>
    </w:p>
    <w:p>
      <w:pPr>
        <w:spacing w:before="0" w:after="40" w:line="240" w:lineRule="auto"/>
        <w:ind w:left="227" w:hanging="170"/>
      </w:pPr>
      <w:r>
        <w:rPr>
          <w:rFonts w:ascii="Arial" w:hAnsi="Arial"/>
          <w:b w:val="0"/>
          <w:color w:val="18231F"/>
          <w:sz w:val="16"/>
        </w:rPr>
        <w:t>• The supplied Stage 6 textbook was not reproduced.</w:t>
      </w:r>
    </w:p>
    <w:p>
      <w:pPr>
        <w:spacing w:before="0" w:after="40" w:line="240" w:lineRule="auto"/>
        <w:ind w:left="227" w:hanging="170"/>
      </w:pPr>
      <w:r>
        <w:rPr>
          <w:rFonts w:ascii="Arial" w:hAnsi="Arial"/>
          <w:b w:val="0"/>
          <w:color w:val="18231F"/>
          <w:sz w:val="16"/>
        </w:rPr>
        <w:t>• The Year 11 assessment schedule PDF was not interpreted; readable task notices are the only formal task weightings represented.</w:t>
      </w:r>
    </w:p>
    <w:p>
      <w:pPr>
        <w:spacing w:before="0" w:after="40" w:line="240" w:lineRule="auto"/>
        <w:ind w:left="227" w:hanging="170"/>
      </w:pPr>
      <w:r>
        <w:rPr>
          <w:rFonts w:ascii="Arial" w:hAnsi="Arial"/>
          <w:b w:val="0"/>
          <w:color w:val="18231F"/>
          <w:sz w:val="16"/>
        </w:rPr>
        <w:t>• The program does not replace OnGuard, local SOPs, induction, supervision, equipment approval or current risk controls.</w:t>
      </w:r>
    </w:p>
    <w:p>
      <w:pPr>
        <w:spacing w:before="0" w:after="40" w:line="240" w:lineRule="auto"/>
        <w:ind w:left="227" w:hanging="170"/>
      </w:pPr>
      <w:r>
        <w:rPr>
          <w:rFonts w:ascii="Arial" w:hAnsi="Arial"/>
          <w:b w:val="0"/>
          <w:color w:val="18231F"/>
          <w:sz w:val="16"/>
        </w:rPr>
        <w:t>• Year 12 detail remains provisional until the authorised HSC site and program are built.</w:t>
      </w:r>
    </w:p>
    <w:sectPr w:rsidR="00FC693F" w:rsidRPr="0006063C" w:rsidSect="00034616">
      <w:headerReference w:type="default" r:id="rId9"/>
      <w:footerReference w:type="default" r:id="rId10"/>
      <w:pgSz w:w="15840" w:h="12240" w:orient="landscape"/>
      <w:pgMar w:top="709" w:right="709" w:bottom="652" w:left="709" w:header="312" w:footer="31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Arial" w:hAnsi="Arial"/>
        <w:b w:val="0"/>
        <w:color w:val="5C6963"/>
        <w:sz w:val="14"/>
      </w:rPr>
      <w:t xml:space="preserve">Y11-DT-2026-08-31-v1  |  Teacher-controlled program  |  </w:t>
    </w: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pPr>
    <w:r>
      <w:rPr>
        <w:rFonts w:ascii="Arial" w:hAnsi="Arial"/>
        <w:b/>
        <w:color w:val="173A32"/>
        <w:sz w:val="15"/>
      </w:rPr>
      <w:t>INDUSTRIAL ARTS LEARNING HUB  |  STAGE 6 MASTER PROGRAM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pPr>
    <w:rPr>
      <w:rFonts w:ascii="Arial" w:hAnsi="Arial"/>
      <w:color w:val="1823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rial" w:hAnsi="Arial"/>
      <w:b/>
      <w:bCs/>
      <w:color w:val="173A32"/>
      <w:sz w:val="4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b/>
      <w:bCs/>
      <w:color w:val="B65F49"/>
      <w:sz w:val="28"/>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rial" w:hAnsi="Arial"/>
      <w:b/>
      <w:bCs/>
      <w:color w:val="173A3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Arial" w:hAnsi="Arial"/>
      <w:b/>
      <w:color w:val="10251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nsw.gov.au/education-and-training/nesa/curriculum/tas/design-and-technology-stage-6-2013" TargetMode="External"/><Relationship Id="rId12" Type="http://schemas.openxmlformats.org/officeDocument/2006/relationships/hyperlink" Target="https://docs.google.com/document/d/1iv4mUsCjRf8f4PqrX1Jx_G5FpMSQzGEZJ9WXxwFzh3c/edit" TargetMode="External"/><Relationship Id="rId13" Type="http://schemas.openxmlformats.org/officeDocument/2006/relationships/hyperlink" Target="https://docs.google.com/document/d/16o5NZ2otTdPi7oR0wP0NaLS9J4-BPv3QCHESN3i7U54/edit" TargetMode="External"/><Relationship Id="rId14" Type="http://schemas.openxmlformats.org/officeDocument/2006/relationships/hyperlink" Target="https://docs.google.com/document/d/1PmfztxpRqeSnRCSbtZZjRHue-VhoqIv5IX1klGrejGc/edit" TargetMode="External"/><Relationship Id="rId15" Type="http://schemas.openxmlformats.org/officeDocument/2006/relationships/hyperlink" Target="https://drive.google.com/drive/folders/1asb_yqzoPc53dcD5arF_KO8e1Wdt8mTnwK7fLFwz5ChKrNspXXW2fqPMteTuqpMikrB7b10g" TargetMode="External"/><Relationship Id="rId16" Type="http://schemas.openxmlformats.org/officeDocument/2006/relationships/hyperlink" Target="https://docs.google.com/document/d/1sLKfRydngtRenpEIt48-aD6YFjtU_Ogl/edit" TargetMode="External"/><Relationship Id="rId17" Type="http://schemas.openxmlformats.org/officeDocument/2006/relationships/hyperlink" Target="https://drive.google.com/drive/folders/13Me-mdZOkpFvuf9UIcvUbM0IiGJXTlH4I59OlxAFvYVkRkFPEwdEQ_V0ykg7KSLG8H3JYt-a" TargetMode="External"/><Relationship Id="rId18" Type="http://schemas.openxmlformats.org/officeDocument/2006/relationships/hyperlink" Target="https://drive.google.com/drive/folders/1yl2uThtINk47X7fQkdTlsyegK6Wap-Q0WPQhBwYh87CEI-b4yl1mPaHu-wrlGqnHgsvSN8n7" TargetMode="External"/><Relationship Id="rId19" Type="http://schemas.openxmlformats.org/officeDocument/2006/relationships/hyperlink" Target="https://drive.google.com/file/d/1gUaUDc1TxJnf2XYK88422XuKbMQ5bHON/view" TargetMode="External"/><Relationship Id="rId20" Type="http://schemas.openxmlformats.org/officeDocument/2006/relationships/hyperlink" Target="https://drive.google.com/file/d/1Oujqs6v9JLLFnuQgQuZ7Yr-OsWEhD7Db/view" TargetMode="External"/><Relationship Id="rId21" Type="http://schemas.openxmlformats.org/officeDocument/2006/relationships/hyperlink" Target="https://drive.google.com/drive/folders/1dA17tF-qaOJducRiiauLkMVJu7KbH_YhdGwfoVPlOegO2gBhkKBOIFT-DTpRJDCZdH0GJ9g7" TargetMode="External"/><Relationship Id="rId22" Type="http://schemas.openxmlformats.org/officeDocument/2006/relationships/hyperlink" Target="https://docs.google.com/presentation/d/1fZgeHNGQlQN-1P6HZhGxo2nxFb5WoVKUq_MON9kTV0c/edit" TargetMode="External"/><Relationship Id="rId23" Type="http://schemas.openxmlformats.org/officeDocument/2006/relationships/hyperlink" Target="https://docs.google.com/presentation/d/1mfJhPF2O6lGCN640zPC397gpm-liSKKYnauUSPxj10g/edit" TargetMode="External"/><Relationship Id="rId24" Type="http://schemas.openxmlformats.org/officeDocument/2006/relationships/hyperlink" Target="https://docs.google.com/document/d/1mmNImoMFrIV4IO0TvV5DPQuCndztEcsE/edit" TargetMode="External"/><Relationship Id="rId25" Type="http://schemas.openxmlformats.org/officeDocument/2006/relationships/hyperlink" Target="https://drive.google.com/drive/folders/1a5wYaNDAyYrBlGsjnlEJWNSJRUUfJIAwrhiQkZzbWE99c5wU9aggKV8pX8kDpsLgbE1Uuln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 6 Design and Technology 240 Hour Master Program</dc:title>
  <dc:subject>NSW Stage 6 Design and Technology teaching program</dc:subject>
  <dc:creator>Industrial Arts Learning Hub</dc:creator>
  <cp:keywords>Design and Technology, Stage 6, Preliminary, HSC, teaching program</cp:keywords>
  <dc:description>Built 31 August 2026. Current school documents remain authoritative.</dc:description>
  <cp:lastModifiedBy/>
  <cp:revision>1</cp:revision>
  <dcterms:created xsi:type="dcterms:W3CDTF">2013-12-23T23:15:00Z</dcterms:created>
  <dcterms:modified xsi:type="dcterms:W3CDTF">2013-12-23T23:15:00Z</dcterms:modified>
  <cp:category/>
</cp:coreProperties>
</file>