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B65F49"/>
          <w:sz w:val="18"/>
        </w:rPr>
        <w:t>DESIGN &amp; TECHNOLOGY</w:t>
      </w:r>
    </w:p>
    <w:p>
      <w:pPr>
        <w:pStyle w:val="Title"/>
        <w:spacing w:before="0" w:after="40" w:line="228" w:lineRule="auto"/>
      </w:pPr>
      <w:r>
        <w:rPr>
          <w:rFonts w:ascii="Arial" w:hAnsi="Arial"/>
          <w:b/>
          <w:color w:val="10251F"/>
          <w:sz w:val="60"/>
        </w:rPr>
        <w:t>Year 11 Design and Technology</w:t>
      </w:r>
    </w:p>
    <w:p>
      <w:pPr>
        <w:spacing w:before="0" w:after="100" w:line="240" w:lineRule="auto"/>
      </w:pPr>
      <w:r>
        <w:rPr>
          <w:rFonts w:ascii="Arial" w:hAnsi="Arial"/>
          <w:b/>
          <w:color w:val="547D69"/>
          <w:sz w:val="28"/>
        </w:rPr>
        <w:t>120-hour teaching program | v1.0 Network Benchmark</w:t>
      </w:r>
    </w:p>
    <w:p>
      <w:pPr>
        <w:spacing w:before="0" w:after="200" w:line="240" w:lineRule="auto"/>
      </w:pPr>
      <w:r>
        <w:rPr>
          <w:rFonts w:ascii="Arial" w:hAnsi="Arial"/>
          <w:b w:val="0"/>
          <w:color w:val="5C6963"/>
          <w:sz w:val="19"/>
        </w:rPr>
        <w:t>A complete Preliminary learning sequence using the supplied Research Assignment, Kitchen Companion and Camping Environment contexts.</w:t>
      </w:r>
    </w:p>
    <w:tbl>
      <w:tblPr>
        <w:tblW w:type="auto" w:w="0"/>
        <w:jc w:val="center"/>
        <w:tblLook w:firstColumn="1" w:firstRow="1" w:lastColumn="0" w:lastRow="0" w:noHBand="0" w:noVBand="1" w:val="04A0"/>
        <w:tblBorders>
          <w:top w:val="single" w:sz="0" w:space="0" w:color="173A32"/>
          <w:left w:val="single" w:sz="0" w:space="0" w:color="173A32"/>
          <w:bottom w:val="single" w:sz="0" w:space="0" w:color="173A32"/>
          <w:right w:val="single" w:sz="0" w:space="0" w:color="173A32"/>
          <w:insideH w:val="single" w:sz="0" w:space="0" w:color="173A32"/>
          <w:insideV w:val="single" w:sz="0" w:space="0" w:color="173A32"/>
        </w:tblBorders>
      </w:tblPr>
      <w:tblGrid>
        <w:gridCol w:w="14422"/>
      </w:tblGrid>
      <w:tr>
        <w:tc>
          <w:tcPr>
            <w:tcW w:type="dxa" w:w="14422"/>
            <w:shd w:fill="173A32"/>
            <w:tcMar>
              <w:top w:w="90" w:type="dxa"/>
              <w:start w:w="90" w:type="dxa"/>
              <w:bottom w:w="90" w:type="dxa"/>
              <w:end w:w="90" w:type="dxa"/>
            </w:tcMar>
          </w:tcPr>
          <w:p>
            <w:pPr>
              <w:spacing w:before="80" w:after="80" w:line="240" w:lineRule="auto"/>
            </w:pPr>
            <w:r>
              <w:rPr>
                <w:rFonts w:ascii="Arial" w:hAnsi="Arial"/>
                <w:b/>
                <w:color w:val="FFFFFF"/>
                <w:sz w:val="17"/>
              </w:rPr>
              <w:t>Built 31 August 2026  |  Y11-DT-2026-08-31-v1</w:t>
            </w:r>
          </w:p>
        </w:tc>
      </w:tr>
    </w:tbl>
    <w:tbl>
      <w:tblPr>
        <w:tblW w:type="auto" w:w="0"/>
        <w:jc w:val="center"/>
        <w:tblLayout w:type="fixed"/>
        <w:tblLook w:firstColumn="1" w:firstRow="1" w:lastColumn="0" w:lastRow="0" w:noHBand="0" w:noVBand="1" w:val="04A0"/>
        <w:tblBorders>
          <w:top w:val="single" w:sz="6" w:space="0" w:color="D9D2C6"/>
          <w:left w:val="single" w:sz="6" w:space="0" w:color="D9D2C6"/>
          <w:bottom w:val="single" w:sz="6" w:space="0" w:color="D9D2C6"/>
          <w:right w:val="single" w:sz="6" w:space="0" w:color="D9D2C6"/>
          <w:insideH w:val="single" w:sz="6" w:space="0" w:color="D9D2C6"/>
          <w:insideV w:val="single" w:sz="6" w:space="0" w:color="D9D2C6"/>
        </w:tblBorders>
      </w:tblPr>
      <w:tblGrid>
        <w:gridCol w:w="3605"/>
        <w:gridCol w:w="3605"/>
        <w:gridCol w:w="3605"/>
        <w:gridCol w:w="3605"/>
      </w:tblGrid>
      <w:tr>
        <w:trPr>
          <w:cantSplit/>
        </w:trPr>
        <w:tc>
          <w:tcPr>
            <w:tcW w:type="dxa" w:w="1814"/>
            <w:tcMar>
              <w:top w:w="70" w:type="dxa"/>
              <w:start w:w="90" w:type="dxa"/>
              <w:bottom w:w="70" w:type="dxa"/>
              <w:end w:w="90" w:type="dxa"/>
            </w:tcMar>
            <w:vAlign w:val="center"/>
            <w:shd w:fill="F7F0E3"/>
          </w:tcPr>
          <w:p>
            <w:pPr>
              <w:spacing w:before="0" w:after="0" w:line="240" w:lineRule="auto"/>
            </w:pPr>
            <w:r>
              <w:rPr>
                <w:rFonts w:ascii="Arial" w:hAnsi="Arial"/>
                <w:b/>
                <w:color w:val="173A32"/>
                <w:sz w:val="16"/>
              </w:rPr>
              <w:t>Course</w:t>
            </w:r>
          </w:p>
        </w:tc>
        <w:tc>
          <w:tcPr>
            <w:tcW w:type="dxa" w:w="5499"/>
            <w:tcMar>
              <w:top w:w="70" w:type="dxa"/>
              <w:start w:w="90" w:type="dxa"/>
              <w:bottom w:w="70" w:type="dxa"/>
              <w:end w:w="90" w:type="dxa"/>
            </w:tcMar>
            <w:vAlign w:val="center"/>
          </w:tcPr>
          <w:p>
            <w:pPr>
              <w:spacing w:before="0" w:after="0" w:line="240" w:lineRule="auto"/>
            </w:pPr>
            <w:r>
              <w:rPr>
                <w:rFonts w:ascii="Arial" w:hAnsi="Arial"/>
                <w:b w:val="0"/>
                <w:color w:val="18231F"/>
                <w:sz w:val="16"/>
              </w:rPr>
              <w:t>11080 Design and Technology (2 units - Preliminary)</w:t>
            </w:r>
          </w:p>
        </w:tc>
        <w:tc>
          <w:tcPr>
            <w:tcW w:type="dxa" w:w="1814"/>
            <w:tcMar>
              <w:top w:w="70" w:type="dxa"/>
              <w:start w:w="90" w:type="dxa"/>
              <w:bottom w:w="70" w:type="dxa"/>
              <w:end w:w="90" w:type="dxa"/>
            </w:tcMar>
            <w:vAlign w:val="center"/>
            <w:shd w:fill="F7F0E3"/>
          </w:tcPr>
          <w:p>
            <w:pPr>
              <w:spacing w:before="0" w:after="0" w:line="240" w:lineRule="auto"/>
            </w:pPr>
            <w:r>
              <w:rPr>
                <w:rFonts w:ascii="Arial" w:hAnsi="Arial"/>
                <w:b/>
                <w:color w:val="173A32"/>
                <w:sz w:val="16"/>
              </w:rPr>
              <w:t>Delivery</w:t>
            </w:r>
          </w:p>
        </w:tc>
        <w:tc>
          <w:tcPr>
            <w:tcW w:type="dxa" w:w="5669"/>
            <w:tcMar>
              <w:top w:w="70" w:type="dxa"/>
              <w:start w:w="90" w:type="dxa"/>
              <w:bottom w:w="70" w:type="dxa"/>
              <w:end w:w="90" w:type="dxa"/>
            </w:tcMar>
            <w:vAlign w:val="center"/>
          </w:tcPr>
          <w:p>
            <w:pPr>
              <w:spacing w:before="0" w:after="0" w:line="240" w:lineRule="auto"/>
            </w:pPr>
            <w:r>
              <w:rPr>
                <w:rFonts w:ascii="Arial" w:hAnsi="Arial"/>
                <w:b w:val="0"/>
                <w:color w:val="18231F"/>
                <w:sz w:val="16"/>
              </w:rPr>
              <w:t>30 weeks | 120 indicative hours | 60 x 2-hour equivalent blocks</w:t>
            </w:r>
          </w:p>
        </w:tc>
      </w:tr>
      <w:tr>
        <w:trPr>
          <w:cantSplit/>
        </w:trPr>
        <w:tc>
          <w:tcPr>
            <w:tcW w:type="dxa" w:w="1814"/>
            <w:tcMar>
              <w:top w:w="70" w:type="dxa"/>
              <w:start w:w="90" w:type="dxa"/>
              <w:bottom w:w="70" w:type="dxa"/>
              <w:end w:w="90" w:type="dxa"/>
            </w:tcMar>
            <w:vAlign w:val="center"/>
            <w:shd w:fill="F7F0E3"/>
          </w:tcPr>
          <w:p>
            <w:pPr>
              <w:spacing w:before="0" w:after="0" w:line="240" w:lineRule="auto"/>
            </w:pPr>
            <w:r>
              <w:rPr>
                <w:rFonts w:ascii="Arial" w:hAnsi="Arial"/>
                <w:b/>
                <w:color w:val="173A32"/>
                <w:sz w:val="16"/>
              </w:rPr>
              <w:t>Syllabus</w:t>
            </w:r>
          </w:p>
        </w:tc>
        <w:tc>
          <w:tcPr>
            <w:tcW w:type="dxa" w:w="5499"/>
            <w:tcMar>
              <w:top w:w="70" w:type="dxa"/>
              <w:start w:w="90" w:type="dxa"/>
              <w:bottom w:w="70" w:type="dxa"/>
              <w:end w:w="90" w:type="dxa"/>
            </w:tcMar>
            <w:vAlign w:val="center"/>
          </w:tcPr>
          <w:p>
            <w:pPr>
              <w:spacing w:before="0" w:after="0" w:line="240" w:lineRule="auto"/>
            </w:pPr>
            <w:r>
              <w:rPr>
                <w:rFonts w:ascii="Arial" w:hAnsi="Arial"/>
                <w:b w:val="0"/>
                <w:color w:val="18231F"/>
                <w:sz w:val="16"/>
              </w:rPr>
              <w:t>Design and Technology Stage 6 Syllabus (2013)</w:t>
            </w:r>
          </w:p>
        </w:tc>
        <w:tc>
          <w:tcPr>
            <w:tcW w:type="dxa" w:w="1814"/>
            <w:tcMar>
              <w:top w:w="70" w:type="dxa"/>
              <w:start w:w="90" w:type="dxa"/>
              <w:bottom w:w="70" w:type="dxa"/>
              <w:end w:w="90" w:type="dxa"/>
            </w:tcMar>
            <w:vAlign w:val="center"/>
            <w:shd w:fill="F7F0E3"/>
          </w:tcPr>
          <w:p>
            <w:pPr>
              <w:spacing w:before="0" w:after="0" w:line="240" w:lineRule="auto"/>
            </w:pPr>
            <w:r>
              <w:rPr>
                <w:rFonts w:ascii="Arial" w:hAnsi="Arial"/>
                <w:b/>
                <w:color w:val="173A32"/>
                <w:sz w:val="16"/>
              </w:rPr>
              <w:t>Build</w:t>
            </w:r>
          </w:p>
        </w:tc>
        <w:tc>
          <w:tcPr>
            <w:tcW w:type="dxa" w:w="5669"/>
            <w:tcMar>
              <w:top w:w="70" w:type="dxa"/>
              <w:start w:w="90" w:type="dxa"/>
              <w:bottom w:w="70" w:type="dxa"/>
              <w:end w:w="90" w:type="dxa"/>
            </w:tcMar>
            <w:vAlign w:val="center"/>
          </w:tcPr>
          <w:p>
            <w:pPr>
              <w:spacing w:before="0" w:after="0" w:line="240" w:lineRule="auto"/>
            </w:pPr>
            <w:r>
              <w:rPr>
                <w:rFonts w:ascii="Arial" w:hAnsi="Arial"/>
                <w:b w:val="0"/>
                <w:color w:val="18231F"/>
                <w:sz w:val="16"/>
              </w:rPr>
              <w:t>31 August 2026 | current syllabus check required annually</w:t>
            </w:r>
          </w:p>
        </w:tc>
      </w:tr>
      <w:tr>
        <w:trPr>
          <w:cantSplit/>
        </w:trPr>
        <w:tc>
          <w:tcPr>
            <w:tcW w:type="dxa" w:w="1814"/>
            <w:tcMar>
              <w:top w:w="70" w:type="dxa"/>
              <w:start w:w="90" w:type="dxa"/>
              <w:bottom w:w="70" w:type="dxa"/>
              <w:end w:w="90" w:type="dxa"/>
            </w:tcMar>
            <w:vAlign w:val="center"/>
            <w:shd w:fill="F7F0E3"/>
          </w:tcPr>
          <w:p>
            <w:pPr>
              <w:spacing w:before="0" w:after="0" w:line="240" w:lineRule="auto"/>
            </w:pPr>
            <w:r>
              <w:rPr>
                <w:rFonts w:ascii="Arial" w:hAnsi="Arial"/>
                <w:b/>
                <w:color w:val="173A32"/>
                <w:sz w:val="16"/>
              </w:rPr>
              <w:t>Site structure</w:t>
            </w:r>
          </w:p>
        </w:tc>
        <w:tc>
          <w:tcPr>
            <w:tcW w:type="dxa" w:w="5499"/>
            <w:tcMar>
              <w:top w:w="70" w:type="dxa"/>
              <w:start w:w="90" w:type="dxa"/>
              <w:bottom w:w="70" w:type="dxa"/>
              <w:end w:w="90" w:type="dxa"/>
            </w:tcMar>
            <w:vAlign w:val="center"/>
          </w:tcPr>
          <w:p>
            <w:pPr>
              <w:spacing w:before="0" w:after="0" w:line="240" w:lineRule="auto"/>
            </w:pPr>
            <w:r>
              <w:rPr>
                <w:rFonts w:ascii="Arial" w:hAnsi="Arial"/>
                <w:b w:val="0"/>
                <w:color w:val="18231F"/>
                <w:sz w:val="16"/>
              </w:rPr>
              <w:t>15 modules | 45 theory sections | 450 checks</w:t>
            </w:r>
          </w:p>
        </w:tc>
        <w:tc>
          <w:tcPr>
            <w:tcW w:type="dxa" w:w="1814"/>
            <w:tcMar>
              <w:top w:w="70" w:type="dxa"/>
              <w:start w:w="90" w:type="dxa"/>
              <w:bottom w:w="70" w:type="dxa"/>
              <w:end w:w="90" w:type="dxa"/>
            </w:tcMar>
            <w:vAlign w:val="center"/>
            <w:shd w:fill="F7F0E3"/>
          </w:tcPr>
          <w:p>
            <w:pPr>
              <w:spacing w:before="0" w:after="0" w:line="240" w:lineRule="auto"/>
            </w:pPr>
            <w:r>
              <w:rPr>
                <w:rFonts w:ascii="Arial" w:hAnsi="Arial"/>
                <w:b/>
                <w:color w:val="173A32"/>
                <w:sz w:val="16"/>
              </w:rPr>
              <w:t>Evidence</w:t>
            </w:r>
          </w:p>
        </w:tc>
        <w:tc>
          <w:tcPr>
            <w:tcW w:type="dxa" w:w="5669"/>
            <w:tcMar>
              <w:top w:w="70" w:type="dxa"/>
              <w:start w:w="90" w:type="dxa"/>
              <w:bottom w:w="70" w:type="dxa"/>
              <w:end w:w="90" w:type="dxa"/>
            </w:tcMar>
            <w:vAlign w:val="center"/>
          </w:tcPr>
          <w:p>
            <w:pPr>
              <w:spacing w:before="0" w:after="0" w:line="240" w:lineRule="auto"/>
            </w:pPr>
            <w:r>
              <w:rPr>
                <w:rFonts w:ascii="Arial" w:hAnsi="Arial"/>
                <w:b w:val="0"/>
                <w:color w:val="18231F"/>
                <w:sz w:val="16"/>
              </w:rPr>
              <w:t>45 saved responses | 10 folio cards | 20 Busy Work tasks</w:t>
            </w:r>
          </w:p>
        </w:tc>
      </w:tr>
      <w:tr>
        <w:trPr>
          <w:cantSplit/>
        </w:trPr>
        <w:tc>
          <w:tcPr>
            <w:tcW w:type="dxa" w:w="1814"/>
            <w:tcMar>
              <w:top w:w="70" w:type="dxa"/>
              <w:start w:w="90" w:type="dxa"/>
              <w:bottom w:w="70" w:type="dxa"/>
              <w:end w:w="90" w:type="dxa"/>
            </w:tcMar>
            <w:vAlign w:val="center"/>
            <w:shd w:fill="F7F0E3"/>
          </w:tcPr>
          <w:p>
            <w:pPr>
              <w:spacing w:before="0" w:after="0" w:line="240" w:lineRule="auto"/>
            </w:pPr>
            <w:r>
              <w:rPr>
                <w:rFonts w:ascii="Arial" w:hAnsi="Arial"/>
                <w:b/>
                <w:color w:val="173A32"/>
                <w:sz w:val="16"/>
              </w:rPr>
              <w:t>Authority</w:t>
            </w:r>
          </w:p>
        </w:tc>
        <w:tc>
          <w:tcPr>
            <w:tcW w:type="dxa" w:w="5499"/>
            <w:tcMar>
              <w:top w:w="70" w:type="dxa"/>
              <w:start w:w="90" w:type="dxa"/>
              <w:bottom w:w="70" w:type="dxa"/>
              <w:end w:w="90" w:type="dxa"/>
            </w:tcMar>
            <w:vAlign w:val="center"/>
          </w:tcPr>
          <w:p>
            <w:pPr>
              <w:spacing w:before="0" w:after="0" w:line="240" w:lineRule="auto"/>
            </w:pPr>
            <w:r>
              <w:rPr>
                <w:rFonts w:ascii="Arial" w:hAnsi="Arial"/>
                <w:b w:val="0"/>
                <w:color w:val="18231F"/>
                <w:sz w:val="16"/>
              </w:rPr>
              <w:t>Current NESA and school documents</w:t>
            </w:r>
          </w:p>
        </w:tc>
        <w:tc>
          <w:tcPr>
            <w:tcW w:type="dxa" w:w="1814"/>
            <w:tcMar>
              <w:top w:w="70" w:type="dxa"/>
              <w:start w:w="90" w:type="dxa"/>
              <w:bottom w:w="70" w:type="dxa"/>
              <w:end w:w="90" w:type="dxa"/>
            </w:tcMar>
            <w:vAlign w:val="center"/>
            <w:shd w:fill="F7F0E3"/>
          </w:tcPr>
          <w:p>
            <w:pPr>
              <w:spacing w:before="0" w:after="0" w:line="240" w:lineRule="auto"/>
            </w:pPr>
            <w:r>
              <w:rPr>
                <w:rFonts w:ascii="Arial" w:hAnsi="Arial"/>
                <w:b/>
                <w:color w:val="173A32"/>
                <w:sz w:val="16"/>
              </w:rPr>
              <w:t>Year 12</w:t>
            </w:r>
          </w:p>
        </w:tc>
        <w:tc>
          <w:tcPr>
            <w:tcW w:type="dxa" w:w="5669"/>
            <w:tcMar>
              <w:top w:w="70" w:type="dxa"/>
              <w:start w:w="90" w:type="dxa"/>
              <w:bottom w:w="70" w:type="dxa"/>
              <w:end w:w="90" w:type="dxa"/>
            </w:tcMar>
            <w:vAlign w:val="center"/>
          </w:tcPr>
          <w:p>
            <w:pPr>
              <w:spacing w:before="0" w:after="0" w:line="240" w:lineRule="auto"/>
            </w:pPr>
            <w:r>
              <w:rPr>
                <w:rFonts w:ascii="Arial" w:hAnsi="Arial"/>
                <w:b w:val="0"/>
                <w:color w:val="18231F"/>
                <w:sz w:val="16"/>
              </w:rPr>
              <w:t>Separate HSC site/program to be built next; master continuity map supplied</w:t>
            </w:r>
          </w:p>
        </w:tc>
      </w:tr>
    </w:tbl>
    <w:p/>
    <w:p>
      <w:pPr>
        <w:spacing w:before="0" w:after="0" w:line="240" w:lineRule="auto"/>
      </w:pPr>
      <w:r>
        <w:rPr>
          <w:rFonts w:ascii="Arial" w:hAnsi="Arial"/>
          <w:b/>
          <w:color w:val="173A32"/>
          <w:sz w:val="16"/>
        </w:rPr>
        <w:t xml:space="preserve">Official course page: </w:t>
      </w:r>
      <w:hyperlink r:id="rId11">
        <w:r>
          <w:rPr>
            <w:color w:val="173A32"/>
            <w:u w:val="single"/>
          </w:rPr>
          <w:t>Design and Technology Stage 6 Syllabus (2013)</w:t>
        </w:r>
      </w:hyperlink>
    </w:p>
    <w:p>
      <w:pPr>
        <w:spacing w:before="0" w:after="0" w:line="240" w:lineRule="auto"/>
      </w:pPr>
      <w:r>
        <w:rPr>
          <w:rFonts w:ascii="Arial" w:hAnsi="Arial"/>
          <w:b/>
          <w:color w:val="173A32"/>
          <w:sz w:val="16"/>
        </w:rPr>
        <w:t xml:space="preserve">Authorised school source collection: </w:t>
      </w:r>
      <w:hyperlink r:id="rId12">
        <w:r>
          <w:rPr>
            <w:color w:val="173A32"/>
            <w:u w:val="single"/>
          </w:rPr>
          <w:t>Year 11 Design and Technology Drive folder</w:t>
        </w:r>
      </w:hyperlink>
    </w:p>
    <w:p>
      <w:pPr>
        <w:pStyle w:val="Heading1"/>
      </w:pPr>
      <w:r>
        <w:t>Official Preliminary outcomes</w:t>
      </w:r>
    </w:p>
    <w:tbl>
      <w:tblPr>
        <w:tblW w:type="auto" w:w="0"/>
        <w:tblLook w:firstColumn="1" w:firstRow="1" w:lastColumn="0" w:lastRow="0" w:noHBand="0" w:noVBand="1" w:val="04A0"/>
        <w:tblBorders>
          <w:top w:val="single" w:sz="6" w:space="0" w:color="D9D2C6"/>
          <w:left w:val="single" w:sz="6" w:space="0" w:color="D9D2C6"/>
          <w:bottom w:val="single" w:sz="6" w:space="0" w:color="D9D2C6"/>
          <w:right w:val="single" w:sz="6" w:space="0" w:color="D9D2C6"/>
          <w:insideH w:val="single" w:sz="6" w:space="0" w:color="D9D2C6"/>
          <w:insideV w:val="single" w:sz="6" w:space="0" w:color="D9D2C6"/>
        </w:tblBorders>
      </w:tblPr>
      <w:tblGrid>
        <w:gridCol w:w="3605"/>
        <w:gridCol w:w="3605"/>
        <w:gridCol w:w="3605"/>
        <w:gridCol w:w="3605"/>
      </w:tblGrid>
      <w:tr>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P1.1</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examines design theory and practice, and considers the factors affecting designing and producing in design projects</w:t>
            </w:r>
          </w:p>
        </w:tc>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P4.3</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evaluates the processes and outcomes of designing and producing</w:t>
            </w:r>
          </w:p>
        </w:tc>
      </w:tr>
      <w:tr>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P2.1</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identifies design and production processes in domestic, community, industrial and commercial settings</w:t>
            </w:r>
          </w:p>
        </w:tc>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P5.1</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uses a variety of management techniques and tools to develop design projects</w:t>
            </w:r>
          </w:p>
        </w:tc>
      </w:tr>
      <w:tr>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P2.2</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explains the impact of a range of design and technology activities on the individual, society and the environment through the development of projects</w:t>
            </w:r>
          </w:p>
        </w:tc>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P5.2</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communicates ideas and solutions using a range of techniques</w:t>
            </w:r>
          </w:p>
        </w:tc>
      </w:tr>
      <w:tr>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P3.1</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investigates and experiments with techniques in creative and collaborative approaches in designing and producing</w:t>
            </w:r>
          </w:p>
        </w:tc>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P5.3</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uses a variety of research methods to inform the development and modification of design ideas</w:t>
            </w:r>
          </w:p>
        </w:tc>
      </w:tr>
      <w:tr>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P4.1</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uses design processes in the development and production of design solutions to meet identified needs and opportunities</w:t>
            </w:r>
          </w:p>
        </w:tc>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P6.1</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investigates a range of manufacturing and production processes and relates these to aspects of design projects</w:t>
            </w:r>
          </w:p>
        </w:tc>
      </w:tr>
      <w:tr>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P4.2</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uses resources effectively and safely in the development and production of design solutions</w:t>
            </w:r>
          </w:p>
        </w:tc>
        <w:tc>
          <w:tcPr>
            <w:tcW w:type="dxa" w:w="794"/>
            <w:tcMar>
              <w:top w:w="70" w:type="dxa"/>
              <w:start w:w="90" w:type="dxa"/>
              <w:bottom w:w="70" w:type="dxa"/>
              <w:end w:w="90" w:type="dxa"/>
            </w:tcMar>
            <w:shd w:fill="173A32"/>
          </w:tcPr>
          <w:p>
            <w:pPr>
              <w:spacing w:before="0" w:after="0" w:line="240" w:lineRule="auto"/>
            </w:pPr>
            <w:r>
              <w:rPr>
                <w:rFonts w:ascii="Arial" w:hAnsi="Arial"/>
                <w:b/>
                <w:color w:val="FFFFFF"/>
                <w:sz w:val="16"/>
              </w:rPr>
              <w:t>P6.2</w:t>
            </w:r>
          </w:p>
        </w:tc>
        <w:tc>
          <w:tcPr>
            <w:tcW w:type="dxa" w:w="6690"/>
            <w:tcMar>
              <w:top w:w="70" w:type="dxa"/>
              <w:start w:w="90" w:type="dxa"/>
              <w:bottom w:w="70" w:type="dxa"/>
              <w:end w:w="90" w:type="dxa"/>
            </w:tcMar>
          </w:tcPr>
          <w:p>
            <w:pPr>
              <w:spacing w:before="0" w:after="0" w:line="240" w:lineRule="auto"/>
            </w:pPr>
            <w:r>
              <w:rPr>
                <w:rFonts w:ascii="Arial" w:hAnsi="Arial"/>
                <w:b w:val="0"/>
                <w:color w:val="18231F"/>
                <w:sz w:val="15"/>
              </w:rPr>
              <w:t>evaluates and uses computer-based technologies in designing and producing</w:t>
            </w:r>
          </w:p>
        </w:tc>
      </w:tr>
    </w:tbl>
    <w:p/>
    <w:p>
      <w:pPr>
        <w:pStyle w:val="Heading1"/>
      </w:pPr>
      <w:r>
        <w:t>Teacher to confirm before use</w:t>
      </w:r>
    </w:p>
    <w:tbl>
      <w:tblPr>
        <w:tblW w:type="auto" w:w="0"/>
        <w:jc w:val="center"/>
        <w:tblLayout w:type="fixed"/>
        <w:tblLook w:firstColumn="1" w:firstRow="1" w:lastColumn="0" w:lastRow="0" w:noHBand="0" w:noVBand="1" w:val="04A0"/>
        <w:tblBorders>
          <w:top w:val="single" w:sz="6" w:space="0" w:color="D9D2C6"/>
          <w:left w:val="single" w:sz="6" w:space="0" w:color="D9D2C6"/>
          <w:bottom w:val="single" w:sz="6" w:space="0" w:color="D9D2C6"/>
          <w:right w:val="single" w:sz="6" w:space="0" w:color="D9D2C6"/>
          <w:insideH w:val="single" w:sz="6" w:space="0" w:color="D9D2C6"/>
          <w:insideV w:val="single" w:sz="6" w:space="0" w:color="D9D2C6"/>
        </w:tblBorders>
      </w:tblPr>
      <w:tblGrid>
        <w:gridCol w:w="4807"/>
        <w:gridCol w:w="4807"/>
        <w:gridCol w:w="4807"/>
      </w:tblGrid>
      <w:tr>
        <w:trPr>
          <w:tblHeader w:val="true"/>
        </w:trPr>
        <w:tc>
          <w:tcPr>
            <w:tcW w:type="dxa" w:w="907"/>
            <w:shd w:fill="173A32"/>
            <w:tcMar>
              <w:top w:w="70" w:type="dxa"/>
              <w:start w:w="90" w:type="dxa"/>
              <w:bottom w:w="70" w:type="dxa"/>
              <w:end w:w="90" w:type="dxa"/>
            </w:tcMar>
          </w:tcPr>
          <w:p>
            <w:pPr>
              <w:spacing w:before="0" w:after="0" w:line="240" w:lineRule="auto"/>
            </w:pPr>
            <w:r>
              <w:rPr>
                <w:rFonts w:ascii="Arial" w:hAnsi="Arial"/>
                <w:b/>
                <w:color w:val="FFFFFF"/>
                <w:sz w:val="16"/>
              </w:rPr>
              <w:t>ID</w:t>
            </w:r>
          </w:p>
        </w:tc>
        <w:tc>
          <w:tcPr>
            <w:tcW w:type="dxa" w:w="2835"/>
            <w:shd w:fill="173A32"/>
            <w:tcMar>
              <w:top w:w="70" w:type="dxa"/>
              <w:start w:w="90" w:type="dxa"/>
              <w:bottom w:w="70" w:type="dxa"/>
              <w:end w:w="90" w:type="dxa"/>
            </w:tcMar>
          </w:tcPr>
          <w:p>
            <w:pPr>
              <w:spacing w:before="0" w:after="0" w:line="240" w:lineRule="auto"/>
            </w:pPr>
            <w:r>
              <w:rPr>
                <w:rFonts w:ascii="Arial" w:hAnsi="Arial"/>
                <w:b/>
                <w:color w:val="FFFFFF"/>
                <w:sz w:val="16"/>
              </w:rPr>
              <w:t>Owner</w:t>
            </w:r>
          </w:p>
        </w:tc>
        <w:tc>
          <w:tcPr>
            <w:tcW w:type="dxa" w:w="11339"/>
            <w:shd w:fill="173A32"/>
            <w:tcMar>
              <w:top w:w="70" w:type="dxa"/>
              <w:start w:w="90" w:type="dxa"/>
              <w:bottom w:w="70" w:type="dxa"/>
              <w:end w:w="90" w:type="dxa"/>
            </w:tcMar>
          </w:tcPr>
          <w:p>
            <w:pPr>
              <w:spacing w:before="0" w:after="0" w:line="240" w:lineRule="auto"/>
            </w:pPr>
            <w:r>
              <w:rPr>
                <w:rFonts w:ascii="Arial" w:hAnsi="Arial"/>
                <w:b/>
                <w:color w:val="FFFFFF"/>
                <w:sz w:val="16"/>
              </w:rPr>
              <w:t>Smallest required action</w:t>
            </w:r>
          </w:p>
        </w:tc>
      </w:tr>
      <w:tr>
        <w:trPr>
          <w:cantSplit/>
        </w:trPr>
        <w:tc>
          <w:tcPr>
            <w:tcW w:type="dxa" w:w="907"/>
            <w:tcMar>
              <w:top w:w="70" w:type="dxa"/>
              <w:start w:w="90" w:type="dxa"/>
              <w:bottom w:w="70" w:type="dxa"/>
              <w:end w:w="90" w:type="dxa"/>
            </w:tcMar>
            <w:shd w:fill="EDF3EF"/>
          </w:tcPr>
          <w:p>
            <w:pPr>
              <w:spacing w:before="0" w:after="0" w:line="240" w:lineRule="auto"/>
            </w:pPr>
            <w:r>
              <w:rPr>
                <w:rFonts w:ascii="Arial" w:hAnsi="Arial"/>
                <w:b/>
                <w:color w:val="18231F"/>
                <w:sz w:val="15"/>
              </w:rPr>
              <w:t>TTC-01</w:t>
            </w:r>
          </w:p>
        </w:tc>
        <w:tc>
          <w:tcPr>
            <w:tcW w:type="dxa" w:w="2835"/>
            <w:tcMar>
              <w:top w:w="70" w:type="dxa"/>
              <w:start w:w="90" w:type="dxa"/>
              <w:bottom w:w="70" w:type="dxa"/>
              <w:end w:w="90" w:type="dxa"/>
            </w:tcMar>
            <w:shd w:fill="EDF3EF"/>
          </w:tcPr>
          <w:p>
            <w:pPr>
              <w:spacing w:before="0" w:after="0" w:line="240" w:lineRule="auto"/>
            </w:pPr>
            <w:r>
              <w:rPr>
                <w:rFonts w:ascii="Arial" w:hAnsi="Arial"/>
                <w:b w:val="0"/>
                <w:color w:val="18231F"/>
                <w:sz w:val="15"/>
              </w:rPr>
              <w:t>Head Teacher / course teacher</w:t>
            </w:r>
          </w:p>
        </w:tc>
        <w:tc>
          <w:tcPr>
            <w:tcW w:type="dxa" w:w="11339"/>
            <w:tcMar>
              <w:top w:w="70" w:type="dxa"/>
              <w:start w:w="90" w:type="dxa"/>
              <w:bottom w:w="70" w:type="dxa"/>
              <w:end w:w="90" w:type="dxa"/>
            </w:tcMar>
            <w:shd w:fill="EDF3EF"/>
          </w:tcPr>
          <w:p>
            <w:pPr>
              <w:spacing w:before="0" w:after="0" w:line="240" w:lineRule="auto"/>
            </w:pPr>
            <w:r>
              <w:rPr>
                <w:rFonts w:ascii="Arial" w:hAnsi="Arial"/>
                <w:b w:val="0"/>
                <w:color w:val="18231F"/>
                <w:sz w:val="15"/>
              </w:rPr>
              <w:t>Map 60 (or 120) equivalent blocks to the local calendar, interruptions, examinations and reporting dates.</w:t>
            </w:r>
          </w:p>
        </w:tc>
      </w:tr>
      <w:tr>
        <w:trPr>
          <w:cantSplit/>
        </w:trPr>
        <w:tc>
          <w:tcPr>
            <w:tcW w:type="dxa" w:w="907"/>
            <w:tcMar>
              <w:top w:w="70" w:type="dxa"/>
              <w:start w:w="90" w:type="dxa"/>
              <w:bottom w:w="70" w:type="dxa"/>
              <w:end w:w="90" w:type="dxa"/>
            </w:tcMar>
            <w:shd w:fill="FFFFFF"/>
          </w:tcPr>
          <w:p>
            <w:pPr>
              <w:spacing w:before="0" w:after="0" w:line="240" w:lineRule="auto"/>
            </w:pPr>
            <w:r>
              <w:rPr>
                <w:rFonts w:ascii="Arial" w:hAnsi="Arial"/>
                <w:b/>
                <w:color w:val="18231F"/>
                <w:sz w:val="15"/>
              </w:rPr>
              <w:t>TTC-02</w:t>
            </w:r>
          </w:p>
        </w:tc>
        <w:tc>
          <w:tcPr>
            <w:tcW w:type="dxa" w:w="2835"/>
            <w:tcMar>
              <w:top w:w="70" w:type="dxa"/>
              <w:start w:w="90" w:type="dxa"/>
              <w:bottom w:w="70" w:type="dxa"/>
              <w:end w:w="90" w:type="dxa"/>
            </w:tcMar>
            <w:shd w:fill="FFFFFF"/>
          </w:tcPr>
          <w:p>
            <w:pPr>
              <w:spacing w:before="0" w:after="0" w:line="240" w:lineRule="auto"/>
            </w:pPr>
            <w:r>
              <w:rPr>
                <w:rFonts w:ascii="Arial" w:hAnsi="Arial"/>
                <w:b w:val="0"/>
                <w:color w:val="18231F"/>
                <w:sz w:val="15"/>
              </w:rPr>
              <w:t>Head Teacher</w:t>
            </w:r>
          </w:p>
        </w:tc>
        <w:tc>
          <w:tcPr>
            <w:tcW w:type="dxa" w:w="11339"/>
            <w:tcMar>
              <w:top w:w="70" w:type="dxa"/>
              <w:start w:w="90" w:type="dxa"/>
              <w:bottom w:w="70" w:type="dxa"/>
              <w:end w:w="90" w:type="dxa"/>
            </w:tcMar>
            <w:shd w:fill="FFFFFF"/>
          </w:tcPr>
          <w:p>
            <w:pPr>
              <w:spacing w:before="0" w:after="0" w:line="240" w:lineRule="auto"/>
            </w:pPr>
            <w:r>
              <w:rPr>
                <w:rFonts w:ascii="Arial" w:hAnsi="Arial"/>
                <w:b w:val="0"/>
                <w:color w:val="18231F"/>
                <w:sz w:val="15"/>
              </w:rPr>
              <w:t>Confirm the current school assessment schedule, formal task notices, adjustments, submission procedures and marking materials.</w:t>
            </w:r>
          </w:p>
        </w:tc>
      </w:tr>
      <w:tr>
        <w:trPr>
          <w:cantSplit/>
        </w:trPr>
        <w:tc>
          <w:tcPr>
            <w:tcW w:type="dxa" w:w="907"/>
            <w:tcMar>
              <w:top w:w="70" w:type="dxa"/>
              <w:start w:w="90" w:type="dxa"/>
              <w:bottom w:w="70" w:type="dxa"/>
              <w:end w:w="90" w:type="dxa"/>
            </w:tcMar>
            <w:shd w:fill="EDF3EF"/>
          </w:tcPr>
          <w:p>
            <w:pPr>
              <w:spacing w:before="0" w:after="0" w:line="240" w:lineRule="auto"/>
            </w:pPr>
            <w:r>
              <w:rPr>
                <w:rFonts w:ascii="Arial" w:hAnsi="Arial"/>
                <w:b/>
                <w:color w:val="18231F"/>
                <w:sz w:val="15"/>
              </w:rPr>
              <w:t>TTC-03</w:t>
            </w:r>
          </w:p>
        </w:tc>
        <w:tc>
          <w:tcPr>
            <w:tcW w:type="dxa" w:w="2835"/>
            <w:tcMar>
              <w:top w:w="70" w:type="dxa"/>
              <w:start w:w="90" w:type="dxa"/>
              <w:bottom w:w="70" w:type="dxa"/>
              <w:end w:w="90" w:type="dxa"/>
            </w:tcMar>
            <w:shd w:fill="EDF3EF"/>
          </w:tcPr>
          <w:p>
            <w:pPr>
              <w:spacing w:before="0" w:after="0" w:line="240" w:lineRule="auto"/>
            </w:pPr>
            <w:r>
              <w:rPr>
                <w:rFonts w:ascii="Arial" w:hAnsi="Arial"/>
                <w:b w:val="0"/>
                <w:color w:val="18231F"/>
                <w:sz w:val="15"/>
              </w:rPr>
              <w:t>Course teacher</w:t>
            </w:r>
          </w:p>
        </w:tc>
        <w:tc>
          <w:tcPr>
            <w:tcW w:type="dxa" w:w="11339"/>
            <w:tcMar>
              <w:top w:w="70" w:type="dxa"/>
              <w:start w:w="90" w:type="dxa"/>
              <w:bottom w:w="70" w:type="dxa"/>
              <w:end w:w="90" w:type="dxa"/>
            </w:tcMar>
            <w:shd w:fill="EDF3EF"/>
          </w:tcPr>
          <w:p>
            <w:pPr>
              <w:spacing w:before="0" w:after="0" w:line="240" w:lineRule="auto"/>
            </w:pPr>
            <w:r>
              <w:rPr>
                <w:rFonts w:ascii="Arial" w:hAnsi="Arial"/>
                <w:b w:val="0"/>
                <w:color w:val="18231F"/>
                <w:sz w:val="15"/>
              </w:rPr>
              <w:t>Confirm class literacy, numeracy, EAL/D, disability, extension, attendance and group-work adjustments.</w:t>
            </w:r>
          </w:p>
        </w:tc>
      </w:tr>
      <w:tr>
        <w:trPr>
          <w:cantSplit/>
        </w:trPr>
        <w:tc>
          <w:tcPr>
            <w:tcW w:type="dxa" w:w="907"/>
            <w:tcMar>
              <w:top w:w="70" w:type="dxa"/>
              <w:start w:w="90" w:type="dxa"/>
              <w:bottom w:w="70" w:type="dxa"/>
              <w:end w:w="90" w:type="dxa"/>
            </w:tcMar>
            <w:shd w:fill="FFFFFF"/>
          </w:tcPr>
          <w:p>
            <w:pPr>
              <w:spacing w:before="0" w:after="0" w:line="240" w:lineRule="auto"/>
            </w:pPr>
            <w:r>
              <w:rPr>
                <w:rFonts w:ascii="Arial" w:hAnsi="Arial"/>
                <w:b/>
                <w:color w:val="18231F"/>
                <w:sz w:val="15"/>
              </w:rPr>
              <w:t>TTC-04</w:t>
            </w:r>
          </w:p>
        </w:tc>
        <w:tc>
          <w:tcPr>
            <w:tcW w:type="dxa" w:w="2835"/>
            <w:tcMar>
              <w:top w:w="70" w:type="dxa"/>
              <w:start w:w="90" w:type="dxa"/>
              <w:bottom w:w="70" w:type="dxa"/>
              <w:end w:w="90" w:type="dxa"/>
            </w:tcMar>
            <w:shd w:fill="FFFFFF"/>
          </w:tcPr>
          <w:p>
            <w:pPr>
              <w:spacing w:before="0" w:after="0" w:line="240" w:lineRule="auto"/>
            </w:pPr>
            <w:r>
              <w:rPr>
                <w:rFonts w:ascii="Arial" w:hAnsi="Arial"/>
                <w:b w:val="0"/>
                <w:color w:val="18231F"/>
                <w:sz w:val="15"/>
              </w:rPr>
              <w:t>Workshop teacher</w:t>
            </w:r>
          </w:p>
        </w:tc>
        <w:tc>
          <w:tcPr>
            <w:tcW w:type="dxa" w:w="11339"/>
            <w:tcMar>
              <w:top w:w="70" w:type="dxa"/>
              <w:start w:w="90" w:type="dxa"/>
              <w:bottom w:w="70" w:type="dxa"/>
              <w:end w:w="90" w:type="dxa"/>
            </w:tcMar>
            <w:shd w:fill="FFFFFF"/>
          </w:tcPr>
          <w:p>
            <w:pPr>
              <w:spacing w:before="0" w:after="0" w:line="240" w:lineRule="auto"/>
            </w:pPr>
            <w:r>
              <w:rPr>
                <w:rFonts w:ascii="Arial" w:hAnsi="Arial"/>
                <w:b w:val="0"/>
                <w:color w:val="18231F"/>
                <w:sz w:val="15"/>
              </w:rPr>
              <w:t>Confirm approved materials, equipment access, induction, SOPs, supervision, risk controls, maintenance and storage.</w:t>
            </w:r>
          </w:p>
        </w:tc>
      </w:tr>
      <w:tr>
        <w:trPr>
          <w:cantSplit/>
        </w:trPr>
        <w:tc>
          <w:tcPr>
            <w:tcW w:type="dxa" w:w="907"/>
            <w:tcMar>
              <w:top w:w="70" w:type="dxa"/>
              <w:start w:w="90" w:type="dxa"/>
              <w:bottom w:w="70" w:type="dxa"/>
              <w:end w:w="90" w:type="dxa"/>
            </w:tcMar>
            <w:shd w:fill="EDF3EF"/>
          </w:tcPr>
          <w:p>
            <w:pPr>
              <w:spacing w:before="0" w:after="0" w:line="240" w:lineRule="auto"/>
            </w:pPr>
            <w:r>
              <w:rPr>
                <w:rFonts w:ascii="Arial" w:hAnsi="Arial"/>
                <w:b/>
                <w:color w:val="18231F"/>
                <w:sz w:val="15"/>
              </w:rPr>
              <w:t>TTC-05</w:t>
            </w:r>
          </w:p>
        </w:tc>
        <w:tc>
          <w:tcPr>
            <w:tcW w:type="dxa" w:w="2835"/>
            <w:tcMar>
              <w:top w:w="70" w:type="dxa"/>
              <w:start w:w="90" w:type="dxa"/>
              <w:bottom w:w="70" w:type="dxa"/>
              <w:end w:w="90" w:type="dxa"/>
            </w:tcMar>
            <w:shd w:fill="EDF3EF"/>
          </w:tcPr>
          <w:p>
            <w:pPr>
              <w:spacing w:before="0" w:after="0" w:line="240" w:lineRule="auto"/>
            </w:pPr>
            <w:r>
              <w:rPr>
                <w:rFonts w:ascii="Arial" w:hAnsi="Arial"/>
                <w:b w:val="0"/>
                <w:color w:val="18231F"/>
                <w:sz w:val="15"/>
              </w:rPr>
              <w:t>Course teacher / community</w:t>
            </w:r>
          </w:p>
        </w:tc>
        <w:tc>
          <w:tcPr>
            <w:tcW w:type="dxa" w:w="11339"/>
            <w:tcMar>
              <w:top w:w="70" w:type="dxa"/>
              <w:start w:w="90" w:type="dxa"/>
              <w:bottom w:w="70" w:type="dxa"/>
              <w:end w:w="90" w:type="dxa"/>
            </w:tcMar>
            <w:shd w:fill="EDF3EF"/>
          </w:tcPr>
          <w:p>
            <w:pPr>
              <w:spacing w:before="0" w:after="0" w:line="240" w:lineRule="auto"/>
            </w:pPr>
            <w:r>
              <w:rPr>
                <w:rFonts w:ascii="Arial" w:hAnsi="Arial"/>
                <w:b w:val="0"/>
                <w:color w:val="18231F"/>
                <w:sz w:val="15"/>
              </w:rPr>
              <w:t>Confirm culturally respectful contexts, permissions, local consultation and treatment of community or cultural knowledge.</w:t>
            </w:r>
          </w:p>
        </w:tc>
      </w:tr>
      <w:tr>
        <w:trPr>
          <w:cantSplit/>
        </w:trPr>
        <w:tc>
          <w:tcPr>
            <w:tcW w:type="dxa" w:w="907"/>
            <w:tcMar>
              <w:top w:w="70" w:type="dxa"/>
              <w:start w:w="90" w:type="dxa"/>
              <w:bottom w:w="70" w:type="dxa"/>
              <w:end w:w="90" w:type="dxa"/>
            </w:tcMar>
            <w:shd w:fill="FFFFFF"/>
          </w:tcPr>
          <w:p>
            <w:pPr>
              <w:spacing w:before="0" w:after="0" w:line="240" w:lineRule="auto"/>
            </w:pPr>
            <w:r>
              <w:rPr>
                <w:rFonts w:ascii="Arial" w:hAnsi="Arial"/>
                <w:b/>
                <w:color w:val="18231F"/>
                <w:sz w:val="15"/>
              </w:rPr>
              <w:t>TTC-06</w:t>
            </w:r>
          </w:p>
        </w:tc>
        <w:tc>
          <w:tcPr>
            <w:tcW w:type="dxa" w:w="2835"/>
            <w:tcMar>
              <w:top w:w="70" w:type="dxa"/>
              <w:start w:w="90" w:type="dxa"/>
              <w:bottom w:w="70" w:type="dxa"/>
              <w:end w:w="90" w:type="dxa"/>
            </w:tcMar>
            <w:shd w:fill="FFFFFF"/>
          </w:tcPr>
          <w:p>
            <w:pPr>
              <w:spacing w:before="0" w:after="0" w:line="240" w:lineRule="auto"/>
            </w:pPr>
            <w:r>
              <w:rPr>
                <w:rFonts w:ascii="Arial" w:hAnsi="Arial"/>
                <w:b w:val="0"/>
                <w:color w:val="18231F"/>
                <w:sz w:val="15"/>
              </w:rPr>
              <w:t>Course teacher</w:t>
            </w:r>
          </w:p>
        </w:tc>
        <w:tc>
          <w:tcPr>
            <w:tcW w:type="dxa" w:w="11339"/>
            <w:tcMar>
              <w:top w:w="70" w:type="dxa"/>
              <w:start w:w="90" w:type="dxa"/>
              <w:bottom w:w="70" w:type="dxa"/>
              <w:end w:w="90" w:type="dxa"/>
            </w:tcMar>
            <w:shd w:fill="FFFFFF"/>
          </w:tcPr>
          <w:p>
            <w:pPr>
              <w:spacing w:before="0" w:after="0" w:line="240" w:lineRule="auto"/>
            </w:pPr>
            <w:r>
              <w:rPr>
                <w:rFonts w:ascii="Arial" w:hAnsi="Arial"/>
                <w:b w:val="0"/>
                <w:color w:val="18231F"/>
                <w:sz w:val="15"/>
              </w:rPr>
              <w:t>Confirm current links, Drive permissions and which supplied resources students may access directly.</w:t>
            </w:r>
          </w:p>
        </w:tc>
      </w:tr>
    </w:tbl>
    <w:p/>
    <w:p>
      <w:pPr>
        <w:pStyle w:val="Heading1"/>
      </w:pPr>
      <w:r>
        <w:t>Assessment source boundary</w:t>
      </w:r>
    </w:p>
    <w:tbl>
      <w:tblPr>
        <w:tblW w:type="auto" w:w="0"/>
        <w:jc w:val="center"/>
        <w:tblLayout w:type="fixed"/>
        <w:tblLook w:firstColumn="1" w:firstRow="1" w:lastColumn="0" w:lastRow="0" w:noHBand="0" w:noVBand="1" w:val="04A0"/>
        <w:tblBorders>
          <w:top w:val="single" w:sz="6" w:space="0" w:color="D9D2C6"/>
          <w:left w:val="single" w:sz="6" w:space="0" w:color="D9D2C6"/>
          <w:bottom w:val="single" w:sz="6" w:space="0" w:color="D9D2C6"/>
          <w:right w:val="single" w:sz="6" w:space="0" w:color="D9D2C6"/>
          <w:insideH w:val="single" w:sz="6" w:space="0" w:color="D9D2C6"/>
          <w:insideV w:val="single" w:sz="6" w:space="0" w:color="D9D2C6"/>
        </w:tblBorders>
      </w:tblPr>
      <w:tblGrid>
        <w:gridCol w:w="2884"/>
        <w:gridCol w:w="2884"/>
        <w:gridCol w:w="2884"/>
        <w:gridCol w:w="2884"/>
        <w:gridCol w:w="2884"/>
      </w:tblGrid>
      <w:tr>
        <w:trPr>
          <w:tblHeader w:val="true"/>
        </w:trPr>
        <w:tc>
          <w:tcPr>
            <w:tcW w:type="dxa" w:w="2494"/>
            <w:shd w:fill="173A32"/>
            <w:tcMar>
              <w:top w:w="70" w:type="dxa"/>
              <w:start w:w="90" w:type="dxa"/>
              <w:bottom w:w="70" w:type="dxa"/>
              <w:end w:w="90" w:type="dxa"/>
            </w:tcMar>
          </w:tcPr>
          <w:p>
            <w:pPr>
              <w:spacing w:before="0" w:after="0" w:line="240" w:lineRule="auto"/>
            </w:pPr>
            <w:r>
              <w:rPr>
                <w:rFonts w:ascii="Arial" w:hAnsi="Arial"/>
                <w:b/>
                <w:color w:val="FFFFFF"/>
                <w:sz w:val="16"/>
              </w:rPr>
              <w:t>Source task</w:t>
            </w:r>
          </w:p>
        </w:tc>
        <w:tc>
          <w:tcPr>
            <w:tcW w:type="dxa" w:w="1474"/>
            <w:shd w:fill="173A32"/>
            <w:tcMar>
              <w:top w:w="70" w:type="dxa"/>
              <w:start w:w="90" w:type="dxa"/>
              <w:bottom w:w="70" w:type="dxa"/>
              <w:end w:w="90" w:type="dxa"/>
            </w:tcMar>
          </w:tcPr>
          <w:p>
            <w:pPr>
              <w:spacing w:before="0" w:after="0" w:line="240" w:lineRule="auto"/>
            </w:pPr>
            <w:r>
              <w:rPr>
                <w:rFonts w:ascii="Arial" w:hAnsi="Arial"/>
                <w:b/>
                <w:color w:val="FFFFFF"/>
                <w:sz w:val="16"/>
              </w:rPr>
              <w:t>Confirmed weighting</w:t>
            </w:r>
          </w:p>
        </w:tc>
        <w:tc>
          <w:tcPr>
            <w:tcW w:type="dxa" w:w="4422"/>
            <w:shd w:fill="173A32"/>
            <w:tcMar>
              <w:top w:w="70" w:type="dxa"/>
              <w:start w:w="90" w:type="dxa"/>
              <w:bottom w:w="70" w:type="dxa"/>
              <w:end w:w="90" w:type="dxa"/>
            </w:tcMar>
          </w:tcPr>
          <w:p>
            <w:pPr>
              <w:spacing w:before="0" w:after="0" w:line="240" w:lineRule="auto"/>
            </w:pPr>
            <w:r>
              <w:rPr>
                <w:rFonts w:ascii="Arial" w:hAnsi="Arial"/>
                <w:b/>
                <w:color w:val="FFFFFF"/>
                <w:sz w:val="16"/>
              </w:rPr>
              <w:t>Course connection</w:t>
            </w:r>
          </w:p>
        </w:tc>
        <w:tc>
          <w:tcPr>
            <w:tcW w:type="dxa" w:w="4706"/>
            <w:shd w:fill="173A32"/>
            <w:tcMar>
              <w:top w:w="70" w:type="dxa"/>
              <w:start w:w="90" w:type="dxa"/>
              <w:bottom w:w="70" w:type="dxa"/>
              <w:end w:w="90" w:type="dxa"/>
            </w:tcMar>
          </w:tcPr>
          <w:p>
            <w:pPr>
              <w:spacing w:before="0" w:after="0" w:line="240" w:lineRule="auto"/>
            </w:pPr>
            <w:r>
              <w:rPr>
                <w:rFonts w:ascii="Arial" w:hAnsi="Arial"/>
                <w:b/>
                <w:color w:val="FFFFFF"/>
                <w:sz w:val="16"/>
              </w:rPr>
              <w:t>Authority</w:t>
            </w:r>
          </w:p>
        </w:tc>
        <w:tc>
          <w:tcPr>
            <w:tcW w:type="dxa" w:w="1814"/>
            <w:shd w:fill="173A32"/>
            <w:tcMar>
              <w:top w:w="70" w:type="dxa"/>
              <w:start w:w="90" w:type="dxa"/>
              <w:bottom w:w="70" w:type="dxa"/>
              <w:end w:w="90" w:type="dxa"/>
            </w:tcMar>
          </w:tcPr>
          <w:p>
            <w:pPr>
              <w:spacing w:before="0" w:after="0" w:line="240" w:lineRule="auto"/>
            </w:pPr>
            <w:r>
              <w:rPr>
                <w:rFonts w:ascii="Arial" w:hAnsi="Arial"/>
                <w:b/>
                <w:color w:val="FFFFFF"/>
                <w:sz w:val="16"/>
              </w:rPr>
              <w:t>Link</w:t>
            </w:r>
          </w:p>
        </w:tc>
      </w:tr>
      <w:tr>
        <w:trPr>
          <w:cantSplit/>
        </w:trPr>
        <w:tc>
          <w:tcPr>
            <w:tcW w:type="dxa" w:w="2494"/>
            <w:tcMar>
              <w:top w:w="70" w:type="dxa"/>
              <w:start w:w="90" w:type="dxa"/>
              <w:bottom w:w="70" w:type="dxa"/>
              <w:end w:w="90" w:type="dxa"/>
            </w:tcMar>
            <w:shd w:fill="EDF3EF"/>
          </w:tcPr>
          <w:p>
            <w:pPr>
              <w:spacing w:before="0" w:after="0" w:line="240" w:lineRule="auto"/>
            </w:pPr>
            <w:r>
              <w:rPr>
                <w:rFonts w:ascii="Arial" w:hAnsi="Arial"/>
                <w:b/>
                <w:color w:val="18231F"/>
                <w:sz w:val="15"/>
              </w:rPr>
              <w:t>2026 Task 1 - Research Assignment</w:t>
            </w:r>
          </w:p>
        </w:tc>
        <w:tc>
          <w:tcPr>
            <w:tcW w:type="dxa" w:w="1474"/>
            <w:tcMar>
              <w:top w:w="70" w:type="dxa"/>
              <w:start w:w="90" w:type="dxa"/>
              <w:bottom w:w="70" w:type="dxa"/>
              <w:end w:w="90" w:type="dxa"/>
            </w:tcMar>
            <w:shd w:fill="EDF3EF"/>
          </w:tcPr>
          <w:p>
            <w:pPr>
              <w:spacing w:before="0" w:after="0" w:line="240" w:lineRule="auto"/>
            </w:pPr>
            <w:r>
              <w:rPr>
                <w:rFonts w:ascii="Arial" w:hAnsi="Arial"/>
                <w:b w:val="0"/>
                <w:color w:val="18231F"/>
                <w:sz w:val="15"/>
              </w:rPr>
              <w:t>35%</w:t>
            </w:r>
          </w:p>
        </w:tc>
        <w:tc>
          <w:tcPr>
            <w:tcW w:type="dxa" w:w="4422"/>
            <w:tcMar>
              <w:top w:w="70" w:type="dxa"/>
              <w:start w:w="90" w:type="dxa"/>
              <w:bottom w:w="70" w:type="dxa"/>
              <w:end w:w="90" w:type="dxa"/>
            </w:tcMar>
            <w:shd w:fill="EDF3EF"/>
          </w:tcPr>
          <w:p>
            <w:pPr>
              <w:spacing w:before="0" w:after="0" w:line="240" w:lineRule="auto"/>
            </w:pPr>
            <w:r>
              <w:rPr>
                <w:rFonts w:ascii="Arial" w:hAnsi="Arial"/>
                <w:b w:val="0"/>
                <w:color w:val="18231F"/>
                <w:sz w:val="15"/>
              </w:rPr>
              <w:t>Modules 1-5: professions, settings, impacts, research and communication</w:t>
            </w:r>
          </w:p>
        </w:tc>
        <w:tc>
          <w:tcPr>
            <w:tcW w:type="dxa" w:w="4706"/>
            <w:tcMar>
              <w:top w:w="70" w:type="dxa"/>
              <w:start w:w="90" w:type="dxa"/>
              <w:bottom w:w="70" w:type="dxa"/>
              <w:end w:w="90" w:type="dxa"/>
            </w:tcMar>
            <w:shd w:fill="EDF3EF"/>
          </w:tcPr>
          <w:p>
            <w:pPr>
              <w:spacing w:before="0" w:after="0" w:line="240" w:lineRule="auto"/>
            </w:pPr>
            <w:r>
              <w:rPr>
                <w:rFonts w:ascii="Arial" w:hAnsi="Arial"/>
                <w:b w:val="0"/>
                <w:color w:val="18231F"/>
                <w:sz w:val="15"/>
              </w:rPr>
              <w:t>Current school task notice and teacher instructions</w:t>
            </w:r>
          </w:p>
        </w:tc>
        <w:tc>
          <w:tcPr>
            <w:tcW w:type="dxa" w:w="1814"/>
            <w:tcMar>
              <w:top w:w="70" w:type="dxa"/>
              <w:start w:w="90" w:type="dxa"/>
              <w:bottom w:w="70" w:type="dxa"/>
              <w:end w:w="90" w:type="dxa"/>
            </w:tcMar>
            <w:shd w:fill="EDF3EF"/>
          </w:tcPr>
          <w:p>
            <w:hyperlink r:id="rId13">
              <w:r>
                <w:rPr>
                  <w:color w:val="173A32"/>
                  <w:u w:val="single"/>
                </w:rPr>
                <w:t>Open source</w:t>
              </w:r>
            </w:hyperlink>
          </w:p>
        </w:tc>
      </w:tr>
      <w:tr>
        <w:trPr>
          <w:cantSplit/>
        </w:trPr>
        <w:tc>
          <w:tcPr>
            <w:tcW w:type="dxa" w:w="2494"/>
            <w:tcMar>
              <w:top w:w="70" w:type="dxa"/>
              <w:start w:w="90" w:type="dxa"/>
              <w:bottom w:w="70" w:type="dxa"/>
              <w:end w:w="90" w:type="dxa"/>
            </w:tcMar>
            <w:shd w:fill="FFFFFF"/>
          </w:tcPr>
          <w:p>
            <w:pPr>
              <w:spacing w:before="0" w:after="0" w:line="240" w:lineRule="auto"/>
            </w:pPr>
            <w:r>
              <w:rPr>
                <w:rFonts w:ascii="Arial" w:hAnsi="Arial"/>
                <w:b/>
                <w:color w:val="18231F"/>
                <w:sz w:val="15"/>
              </w:rPr>
              <w:t>Kitchen Companion</w:t>
            </w:r>
          </w:p>
        </w:tc>
        <w:tc>
          <w:tcPr>
            <w:tcW w:type="dxa" w:w="1474"/>
            <w:tcMar>
              <w:top w:w="70" w:type="dxa"/>
              <w:start w:w="90" w:type="dxa"/>
              <w:bottom w:w="70" w:type="dxa"/>
              <w:end w:w="90" w:type="dxa"/>
            </w:tcMar>
            <w:shd w:fill="FFFFFF"/>
          </w:tcPr>
          <w:p>
            <w:pPr>
              <w:spacing w:before="0" w:after="0" w:line="240" w:lineRule="auto"/>
            </w:pPr>
            <w:r>
              <w:rPr>
                <w:rFonts w:ascii="Arial" w:hAnsi="Arial"/>
                <w:b w:val="0"/>
                <w:color w:val="18231F"/>
                <w:sz w:val="15"/>
              </w:rPr>
              <w:t>Course project; no formal weighting established by the source used</w:t>
            </w:r>
          </w:p>
        </w:tc>
        <w:tc>
          <w:tcPr>
            <w:tcW w:type="dxa" w:w="4422"/>
            <w:tcMar>
              <w:top w:w="70" w:type="dxa"/>
              <w:start w:w="90" w:type="dxa"/>
              <w:bottom w:w="70" w:type="dxa"/>
              <w:end w:w="90" w:type="dxa"/>
            </w:tcMar>
            <w:shd w:fill="FFFFFF"/>
          </w:tcPr>
          <w:p>
            <w:pPr>
              <w:spacing w:before="0" w:after="0" w:line="240" w:lineRule="auto"/>
            </w:pPr>
            <w:r>
              <w:rPr>
                <w:rFonts w:ascii="Arial" w:hAnsi="Arial"/>
                <w:b w:val="0"/>
                <w:color w:val="18231F"/>
                <w:sz w:val="15"/>
              </w:rPr>
              <w:t>Modules 6-10: collaboration, CAD, tolerance, prototyping and evaluation</w:t>
            </w:r>
          </w:p>
        </w:tc>
        <w:tc>
          <w:tcPr>
            <w:tcW w:type="dxa" w:w="4706"/>
            <w:tcMar>
              <w:top w:w="70" w:type="dxa"/>
              <w:start w:w="90" w:type="dxa"/>
              <w:bottom w:w="70" w:type="dxa"/>
              <w:end w:w="90" w:type="dxa"/>
            </w:tcMar>
            <w:shd w:fill="FFFFFF"/>
          </w:tcPr>
          <w:p>
            <w:pPr>
              <w:spacing w:before="0" w:after="0" w:line="240" w:lineRule="auto"/>
            </w:pPr>
            <w:r>
              <w:rPr>
                <w:rFonts w:ascii="Arial" w:hAnsi="Arial"/>
                <w:b w:val="0"/>
                <w:color w:val="18231F"/>
                <w:sz w:val="15"/>
              </w:rPr>
              <w:t>Teacher-approved project brief</w:t>
            </w:r>
          </w:p>
        </w:tc>
        <w:tc>
          <w:tcPr>
            <w:tcW w:type="dxa" w:w="1814"/>
            <w:tcMar>
              <w:top w:w="70" w:type="dxa"/>
              <w:start w:w="90" w:type="dxa"/>
              <w:bottom w:w="70" w:type="dxa"/>
              <w:end w:w="90" w:type="dxa"/>
            </w:tcMar>
            <w:shd w:fill="FFFFFF"/>
          </w:tcPr>
          <w:p>
            <w:hyperlink r:id="rId14">
              <w:r>
                <w:rPr>
                  <w:color w:val="173A32"/>
                  <w:u w:val="single"/>
                </w:rPr>
                <w:t>Open source</w:t>
              </w:r>
            </w:hyperlink>
          </w:p>
        </w:tc>
      </w:tr>
      <w:tr>
        <w:trPr>
          <w:cantSplit/>
        </w:trPr>
        <w:tc>
          <w:tcPr>
            <w:tcW w:type="dxa" w:w="2494"/>
            <w:tcMar>
              <w:top w:w="70" w:type="dxa"/>
              <w:start w:w="90" w:type="dxa"/>
              <w:bottom w:w="70" w:type="dxa"/>
              <w:end w:w="90" w:type="dxa"/>
            </w:tcMar>
            <w:shd w:fill="EDF3EF"/>
          </w:tcPr>
          <w:p>
            <w:pPr>
              <w:spacing w:before="0" w:after="0" w:line="240" w:lineRule="auto"/>
            </w:pPr>
            <w:r>
              <w:rPr>
                <w:rFonts w:ascii="Arial" w:hAnsi="Arial"/>
                <w:b/>
                <w:color w:val="18231F"/>
                <w:sz w:val="15"/>
              </w:rPr>
              <w:t>2026 Task 2 - Camping Environment</w:t>
            </w:r>
          </w:p>
        </w:tc>
        <w:tc>
          <w:tcPr>
            <w:tcW w:type="dxa" w:w="1474"/>
            <w:tcMar>
              <w:top w:w="70" w:type="dxa"/>
              <w:start w:w="90" w:type="dxa"/>
              <w:bottom w:w="70" w:type="dxa"/>
              <w:end w:w="90" w:type="dxa"/>
            </w:tcMar>
            <w:shd w:fill="EDF3EF"/>
          </w:tcPr>
          <w:p>
            <w:pPr>
              <w:spacing w:before="0" w:after="0" w:line="240" w:lineRule="auto"/>
            </w:pPr>
            <w:r>
              <w:rPr>
                <w:rFonts w:ascii="Arial" w:hAnsi="Arial"/>
                <w:b w:val="0"/>
                <w:color w:val="18231F"/>
                <w:sz w:val="15"/>
              </w:rPr>
              <w:t>40%</w:t>
            </w:r>
          </w:p>
        </w:tc>
        <w:tc>
          <w:tcPr>
            <w:tcW w:type="dxa" w:w="4422"/>
            <w:tcMar>
              <w:top w:w="70" w:type="dxa"/>
              <w:start w:w="90" w:type="dxa"/>
              <w:bottom w:w="70" w:type="dxa"/>
              <w:end w:w="90" w:type="dxa"/>
            </w:tcMar>
            <w:shd w:fill="EDF3EF"/>
          </w:tcPr>
          <w:p>
            <w:pPr>
              <w:spacing w:before="0" w:after="0" w:line="240" w:lineRule="auto"/>
            </w:pPr>
            <w:r>
              <w:rPr>
                <w:rFonts w:ascii="Arial" w:hAnsi="Arial"/>
                <w:b w:val="0"/>
                <w:color w:val="18231F"/>
                <w:sz w:val="15"/>
              </w:rPr>
              <w:t>Modules 11-14: need, project management, production, evaluation and marketing</w:t>
            </w:r>
          </w:p>
        </w:tc>
        <w:tc>
          <w:tcPr>
            <w:tcW w:type="dxa" w:w="4706"/>
            <w:tcMar>
              <w:top w:w="70" w:type="dxa"/>
              <w:start w:w="90" w:type="dxa"/>
              <w:bottom w:w="70" w:type="dxa"/>
              <w:end w:w="90" w:type="dxa"/>
            </w:tcMar>
            <w:shd w:fill="EDF3EF"/>
          </w:tcPr>
          <w:p>
            <w:pPr>
              <w:spacing w:before="0" w:after="0" w:line="240" w:lineRule="auto"/>
            </w:pPr>
            <w:r>
              <w:rPr>
                <w:rFonts w:ascii="Arial" w:hAnsi="Arial"/>
                <w:b w:val="0"/>
                <w:color w:val="18231F"/>
                <w:sz w:val="15"/>
              </w:rPr>
              <w:t>Current school task notice and teacher instructions</w:t>
            </w:r>
          </w:p>
        </w:tc>
        <w:tc>
          <w:tcPr>
            <w:tcW w:type="dxa" w:w="1814"/>
            <w:tcMar>
              <w:top w:w="70" w:type="dxa"/>
              <w:start w:w="90" w:type="dxa"/>
              <w:bottom w:w="70" w:type="dxa"/>
              <w:end w:w="90" w:type="dxa"/>
            </w:tcMar>
            <w:shd w:fill="EDF3EF"/>
          </w:tcPr>
          <w:p>
            <w:hyperlink r:id="rId15">
              <w:r>
                <w:rPr>
                  <w:color w:val="173A32"/>
                  <w:u w:val="single"/>
                </w:rPr>
                <w:t>Open source</w:t>
              </w:r>
            </w:hyperlink>
          </w:p>
        </w:tc>
      </w:tr>
      <w:tr>
        <w:trPr>
          <w:cantSplit/>
        </w:trPr>
        <w:tc>
          <w:tcPr>
            <w:tcW w:type="dxa" w:w="2494"/>
            <w:tcMar>
              <w:top w:w="70" w:type="dxa"/>
              <w:start w:w="90" w:type="dxa"/>
              <w:bottom w:w="70" w:type="dxa"/>
              <w:end w:w="90" w:type="dxa"/>
            </w:tcMar>
            <w:shd w:fill="FFFFFF"/>
          </w:tcPr>
          <w:p>
            <w:pPr>
              <w:spacing w:before="0" w:after="0" w:line="240" w:lineRule="auto"/>
            </w:pPr>
            <w:r>
              <w:rPr>
                <w:rFonts w:ascii="Arial" w:hAnsi="Arial"/>
                <w:b/>
                <w:color w:val="18231F"/>
                <w:sz w:val="15"/>
              </w:rPr>
              <w:t>Remaining formal assessment</w:t>
            </w:r>
          </w:p>
        </w:tc>
        <w:tc>
          <w:tcPr>
            <w:tcW w:type="dxa" w:w="1474"/>
            <w:tcMar>
              <w:top w:w="70" w:type="dxa"/>
              <w:start w:w="90" w:type="dxa"/>
              <w:bottom w:w="70" w:type="dxa"/>
              <w:end w:w="90" w:type="dxa"/>
            </w:tcMar>
            <w:shd w:fill="FFFFFF"/>
          </w:tcPr>
          <w:p>
            <w:pPr>
              <w:spacing w:before="0" w:after="0" w:line="240" w:lineRule="auto"/>
            </w:pPr>
            <w:r>
              <w:rPr>
                <w:rFonts w:ascii="Arial" w:hAnsi="Arial"/>
                <w:b w:val="0"/>
                <w:color w:val="18231F"/>
                <w:sz w:val="15"/>
              </w:rPr>
              <w:t>Not established from readable supplied sources</w:t>
            </w:r>
          </w:p>
        </w:tc>
        <w:tc>
          <w:tcPr>
            <w:tcW w:type="dxa" w:w="4422"/>
            <w:tcMar>
              <w:top w:w="70" w:type="dxa"/>
              <w:start w:w="90" w:type="dxa"/>
              <w:bottom w:w="70" w:type="dxa"/>
              <w:end w:w="90" w:type="dxa"/>
            </w:tcMar>
            <w:shd w:fill="FFFFFF"/>
          </w:tcPr>
          <w:p>
            <w:pPr>
              <w:spacing w:before="0" w:after="0" w:line="240" w:lineRule="auto"/>
            </w:pPr>
            <w:r>
              <w:rPr>
                <w:rFonts w:ascii="Arial" w:hAnsi="Arial"/>
                <w:b w:val="0"/>
                <w:color w:val="18231F"/>
                <w:sz w:val="15"/>
              </w:rPr>
              <w:t>Module 15 and teacher-selected course revision</w:t>
            </w:r>
          </w:p>
        </w:tc>
        <w:tc>
          <w:tcPr>
            <w:tcW w:type="dxa" w:w="4706"/>
            <w:tcMar>
              <w:top w:w="70" w:type="dxa"/>
              <w:start w:w="90" w:type="dxa"/>
              <w:bottom w:w="70" w:type="dxa"/>
              <w:end w:w="90" w:type="dxa"/>
            </w:tcMar>
            <w:shd w:fill="FFFFFF"/>
          </w:tcPr>
          <w:p>
            <w:pPr>
              <w:spacing w:before="0" w:after="0" w:line="240" w:lineRule="auto"/>
            </w:pPr>
            <w:r>
              <w:rPr>
                <w:rFonts w:ascii="Arial" w:hAnsi="Arial"/>
                <w:b w:val="0"/>
                <w:color w:val="18231F"/>
                <w:sz w:val="15"/>
              </w:rPr>
              <w:t>Current school assessment schedule</w:t>
            </w:r>
          </w:p>
        </w:tc>
        <w:tc>
          <w:tcPr>
            <w:tcW w:type="dxa" w:w="1814"/>
            <w:tcMar>
              <w:top w:w="70" w:type="dxa"/>
              <w:start w:w="90" w:type="dxa"/>
              <w:bottom w:w="70" w:type="dxa"/>
              <w:end w:w="90" w:type="dxa"/>
            </w:tcMar>
            <w:shd w:fill="FFFFFF"/>
          </w:tcPr>
          <w:p>
            <w:hyperlink r:id="rId12">
              <w:r>
                <w:rPr>
                  <w:color w:val="173A32"/>
                  <w:u w:val="single"/>
                </w:rPr>
                <w:t>Open source</w:t>
              </w:r>
            </w:hyperlink>
          </w:p>
        </w:tc>
      </w:tr>
    </w:tbl>
    <w:p>
      <w:pPr>
        <w:spacing w:before="80" w:after="100" w:line="240" w:lineRule="auto"/>
      </w:pPr>
      <w:r>
        <w:rPr>
          <w:rFonts w:ascii="Arial" w:hAnsi="Arial"/>
          <w:b/>
          <w:color w:val="B65F49"/>
          <w:sz w:val="16"/>
        </w:rPr>
        <w:t>The two supplied formal notices account for 75 percentage points. Do not assume the remaining assessment type, timing or weighting without the current school schedule.</w:t>
      </w:r>
    </w:p>
    <w:p>
      <w:r>
        <w:br w:type="page"/>
      </w:r>
    </w:p>
    <w:p>
      <w:pPr>
        <w:pStyle w:val="Title"/>
        <w:spacing w:before="0" w:after="40" w:line="240" w:lineRule="auto"/>
      </w:pPr>
      <w:r>
        <w:rPr>
          <w:rFonts w:ascii="Arial" w:hAnsi="Arial"/>
          <w:b/>
          <w:color w:val="10251F"/>
          <w:sz w:val="48"/>
        </w:rPr>
        <w:t>Year 11 teaching and learning sequence</w:t>
      </w:r>
    </w:p>
    <w:p>
      <w:pPr>
        <w:spacing w:before="0" w:after="160" w:line="240" w:lineRule="auto"/>
      </w:pPr>
      <w:r>
        <w:rPr>
          <w:rFonts w:ascii="Arial" w:hAnsi="Arial"/>
          <w:b w:val="0"/>
          <w:color w:val="5C6963"/>
          <w:sz w:val="18"/>
        </w:rPr>
        <w:t>Equivalent blocks are planning units. Map them to the local timetable and adjust without reducing syllabus or project requirements.</w:t>
      </w:r>
    </w:p>
    <w:p>
      <w:pPr>
        <w:pStyle w:val="Heading1"/>
        <w:spacing w:before="0" w:after="100" w:line="240" w:lineRule="auto"/>
      </w:pPr>
      <w:r>
        <w:rPr>
          <w:rFonts w:ascii="Arial" w:hAnsi="Arial"/>
          <w:b/>
          <w:color w:val="173A32"/>
          <w:sz w:val="32"/>
        </w:rPr>
        <w:t>Blocks 1-6</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1</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What Design and Technology studies / Design professions and design practice</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what design and technology studies with design professions and design practice.</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Understand the course, the work of designers and the adaptable processes used to move from a need to an evaluated solution. Key terms: designing, producing, design profession, client.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P1.1, P2.1.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2</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Design processes across contexts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Design processes are adaptable rather than rigid. Designers may move backwards, repeat tests or work on several stages at once. The scale, people, resources, risk and purpose of a setting change how the process is managed, but the need for evidence and evaluation remains.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P1.1, P2.1.</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3</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Create a design-profession map and compare how two designers move from client need to final presentation.</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design and technology foundations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P1.1, P2.1.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4</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Research Assignment launch</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Launch the Research Assignment: unpack the supplied task notice, confirm permitted format and create a research plan without drafting content for students.</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P1.1, P2.1.</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5</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Needs, function and appropriateness / Aesthetics, ergonomics and quality</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needs, function and appropriateness with aesthetics, ergonomics and quality.</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Analyse how needs, function, aesthetics, ergonomics, finance, quality, safety and environmental consequences interact. Key terms: need, function, aesthetics, ergonomics.</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P1.1, P2.2.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6</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Finance, WHS, environment and product life</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Design decisions create costs and consequences across production, use and end-of-life. Finance includes development, material, production, maintenance and selling considerations. Work health and safety requires hazards to be controlled. Environmental thinking examines short- and long-term effects, including obsolescence and the product life cycle.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P1.1, P2.2, P4.2.</w:t>
            </w:r>
          </w:p>
        </w:tc>
      </w:tr>
    </w:tbl>
    <w:p>
      <w:r>
        <w:br w:type="page"/>
      </w:r>
    </w:p>
    <w:p>
      <w:pPr>
        <w:pStyle w:val="Heading1"/>
        <w:spacing w:before="0" w:after="100" w:line="240" w:lineRule="auto"/>
      </w:pPr>
      <w:r>
        <w:rPr>
          <w:rFonts w:ascii="Arial" w:hAnsi="Arial"/>
          <w:b/>
          <w:color w:val="173A32"/>
          <w:sz w:val="32"/>
        </w:rPr>
        <w:t>Blocks 7-12</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7</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Complete a product success-and-failure audit that identifies evidence, trade-offs and consequences.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factors affecting design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P1.1, P2.2.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8</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Research Assignment</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Analyse a familiar product through interacting design factors and prepare a source-backed designer case-study paragraph.</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P1.1, P2.2.</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9</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Primary and secondary research / Qualitative and quantitative data</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primary and secondary research with qualitative and quantitative data.</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Use varied, ethical and fit-for-purpose research to establish needs, build criteria and modify ideas. Key terms: primary research, secondary research, qualitative data, quantitative data.</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P5.3, P5.2.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10</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Ethical research and evidence synthesis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Design research involving people requires informed consent, privacy, voluntary participation and honest reporting. Evidence synthesis means comparing findings across sources and methods, resolving contradictions where possible and stating uncertainty where evidence remains limited.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P5.3, P5.2.</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11</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Prepare a research plan that combines methods, identifies participants and shows how findings will affect decisions.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research that informs design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P5.3, P5.2.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12</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Research Assignment</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Collect and ethically analyse a small set of user or market data relevant to the Research Assignment.</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P5.3, P5.2.</w:t>
            </w:r>
          </w:p>
        </w:tc>
      </w:tr>
    </w:tbl>
    <w:p>
      <w:r>
        <w:br w:type="page"/>
      </w:r>
    </w:p>
    <w:p>
      <w:pPr>
        <w:pStyle w:val="Heading1"/>
        <w:spacing w:before="0" w:after="100" w:line="240" w:lineRule="auto"/>
      </w:pPr>
      <w:r>
        <w:rPr>
          <w:rFonts w:ascii="Arial" w:hAnsi="Arial"/>
          <w:b/>
          <w:color w:val="173A32"/>
          <w:sz w:val="32"/>
        </w:rPr>
        <w:t>Blocks 13-18</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13</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Domestic, community, industrial and commercial settings / Technologies in industrial and commercial settings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domestic, community, industrial and commercial settings with technologies in industrial and commercial settings.</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Relate school design projects to domestic, community, industrial and commercial practices and technologies. Key terms: domestic, community, technology, CAD.</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P2.1, P2.2, P6.1.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14</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Impacts on individuals, society and the environment</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Design activity affects more than the purchaser. It may change safety, access, work, skills, behaviour, communities, resource use and waste. Strong analysis identifies who or what is affected, explains the mechanism and considers both intended and unintended consequences.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P2.2.</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15</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Compare one school production process with a domestic and an industrial/commercial process.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design and production settings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P2.1, P2.2, P6.1.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16</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Research Assignment</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Compare one school-scale process with domestic, community and industrial/commercial practice using clear limitations.</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P2.1, P2.2, P6.1.</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17</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Communication methods and audience / Command verbs and evidence-based responses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communication methods and audience with command verbs and evidence-based responses.</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Choose communication methods for purpose and audience, use command verbs accurately and complete the Research Assignment with evidence. Key terms: audience, annotation, command verb, justify.</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P5.2, P5.3, P1.1, P2.2.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18</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Research Assignment synthesis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 authorised Research Assignment asks students to explain Design and Technology fields, examine a specific design profession and Australian designer, identify management, tools, technology and education, and explain the impact of an invention on individuals, society and the environment. The presentation should be coherent rather than a set of disconnected facts.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P1.1, P2.1, P2.2, P5.2, P5.3, P6.2.</w:t>
            </w:r>
          </w:p>
        </w:tc>
      </w:tr>
    </w:tbl>
    <w:p>
      <w:r>
        <w:br w:type="page"/>
      </w:r>
    </w:p>
    <w:p>
      <w:pPr>
        <w:pStyle w:val="Heading1"/>
        <w:spacing w:before="0" w:after="100" w:line="240" w:lineRule="auto"/>
      </w:pPr>
      <w:r>
        <w:rPr>
          <w:rFonts w:ascii="Arial" w:hAnsi="Arial"/>
          <w:b/>
          <w:color w:val="173A32"/>
          <w:sz w:val="32"/>
        </w:rPr>
        <w:t>Blocks 19-24</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19</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Rehearse and improve a parent-night presentation using source evidence, audience needs and command-verb accuracy.</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communicating research and design knowledge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P5.2, P5.3, P1.1, P2.2.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20</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Research Assignment completion</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Produce and refine the Research Assignment presentation; use current notice, teacher checkpoints and references as authority.</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P5.2, P5.3, P1.1, P2.2.</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21</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Idea-generation techniques / Six Thinking Hats and collaboration</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idea-generation techniques with six thinking hats and collaboration.</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Generate alternatives, use cognitive organisers deliberately and collaborate through clear roles and evidence. Key terms: brainstorming, SCAMPER, parallel thinking, White Hat.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P3.1, P5.2.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22</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Selecting and justifying concepts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Concept selection should not be a popularity contest or a defence of the first idea. Designers establish criteria and constraints, compare alternatives, identify trade-offs, combine useful features and explain why the selected direction offers the strongest fit for the need and context.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P3.1, P4.1, P4.3.</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23</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Run and document a Six Thinking Hats session that produces several feasible Kitchen Companion directions.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creativity and collaborative design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P3.1, P5.2.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24</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Kitchen Companion</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Run the Kitchen Companion Six Thinking Hats process and select a shared problem for investigation.</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P3.1, P5.2.</w:t>
            </w:r>
          </w:p>
        </w:tc>
      </w:tr>
    </w:tbl>
    <w:p>
      <w:r>
        <w:br w:type="page"/>
      </w:r>
    </w:p>
    <w:p>
      <w:pPr>
        <w:pStyle w:val="Heading1"/>
        <w:spacing w:before="0" w:after="100" w:line="240" w:lineRule="auto"/>
      </w:pPr>
      <w:r>
        <w:rPr>
          <w:rFonts w:ascii="Arial" w:hAnsi="Arial"/>
          <w:b/>
          <w:color w:val="173A32"/>
          <w:sz w:val="32"/>
        </w:rPr>
        <w:t>Blocks 25-30</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25</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Design situation, brief and constraints / Target market, equity and accessibility</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design situation, brief and constraints with target market, equity and accessibility.</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Translate evidence about users and contexts into a clear brief, practical boundaries and criteria that guide testing. Key terms: design situation, design brief, target market, accessibility.</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P4.1, P4.3, P5.3.</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26</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Criteria to evaluate success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Criteria to evaluate success convert the need, research and brief into standards that can guide decisions and testing. Strong criteria are specific, relevant and supported. Some can be measured numerically; others need structured user or expert judgement.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P4.1, P4.3, P5.1.</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27</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Build a user-needs, constraints and criteria matrix for the Kitchen Companion design.</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briefs, users and criteria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P4.1, P4.3, P5.3.</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28</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Kitchen Companion</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Develop the Kitchen Companion brief, criteria and user profile; create initial soft prototypes.</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P4.1, P4.3, P5.3.</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29</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Freehand sketching and annotation / Isometric, oblique and orthogonal drawing</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freehand sketching and annotation with isometric, oblique and orthogonal drawing.</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Use freehand, pictorial, orthogonal and digital communication to develop and explain ideas. Key terms: construction line, annotation, isometric, oblique.</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P5.2, P6.2.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30</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Models, presentations and folio communication</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Different communication methods reveal different information. A rough model can test scale or interaction. A CAD model can communicate geometry and support manufacture. A presentation can explain reasoning to an audience. A folio should connect these artefacts into an evidence trail.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P5.2, P6.2.</w:t>
            </w:r>
          </w:p>
        </w:tc>
      </w:tr>
    </w:tbl>
    <w:p>
      <w:r>
        <w:br w:type="page"/>
      </w:r>
    </w:p>
    <w:p>
      <w:pPr>
        <w:pStyle w:val="Heading1"/>
        <w:spacing w:before="0" w:after="100" w:line="240" w:lineRule="auto"/>
      </w:pPr>
      <w:r>
        <w:rPr>
          <w:rFonts w:ascii="Arial" w:hAnsi="Arial"/>
          <w:b/>
          <w:color w:val="173A32"/>
          <w:sz w:val="32"/>
        </w:rPr>
        <w:t>Blocks 31-36</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31</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Produce an annotated concept sheet containing a freehand idea, a pictorial view and essential working information.</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graphical and design communication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P5.2, P6.2.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32</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Kitchen Companion / Camping launch</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Produce annotated concepts and technical drawings suited to communication and manufacture.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P5.2, P6.2.</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33</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CAD modelling and design intent / Rapid prototyping and 3D printing</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cad modelling and design intent with rapid prototyping and 3d printing.</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Build controlled digital models, transfer information to production and use rapid prototypes to test assumptions. Key terms: design intent, constraint, rapid prototyping, slicing.</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P6.2, P4.1, P4.2.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34</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Tolerance, fit and the Kitchen Companion</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Tolerance describes allowable variation from a specified size. Clearance is the intentional gap between mating parts. The Kitchen Companion brief nominates a 0.2 mm tolerance for moving parts, but the authorised value still needs to be interpreted and tested using the actual printer, material, orientation and geometry.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P4.1, P4.2, P4.3, P6.2.</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35</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Create and document a 0.2 mm tolerance test before committing the Kitchen Companion final print.</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cad and rapid prototyping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P6.2, P4.1, P4.2.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36</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Kitchen Companion</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Develop CAD models and run 0.2 mm tolerance test prints for moving or fitted parts where relevant.</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P6.2, P4.1, P4.2.</w:t>
            </w:r>
          </w:p>
        </w:tc>
      </w:tr>
    </w:tbl>
    <w:p>
      <w:r>
        <w:br w:type="page"/>
      </w:r>
    </w:p>
    <w:p>
      <w:pPr>
        <w:pStyle w:val="Heading1"/>
        <w:spacing w:before="0" w:after="100" w:line="240" w:lineRule="auto"/>
      </w:pPr>
      <w:r>
        <w:rPr>
          <w:rFonts w:ascii="Arial" w:hAnsi="Arial"/>
          <w:b/>
          <w:color w:val="173A32"/>
          <w:sz w:val="32"/>
        </w:rPr>
        <w:t>Blocks 37-42</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37</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Material selection and evidence / Manufacturing processes and scale</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material selection and evidence with manufacturing processes and scale.</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Select resources through evidence, plan fair tests and use evaluation to refine prototypes before final production. Key terms: property, workability, manufacturing process, jig.</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P4.2, P4.3, P6.1.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38</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Prototype testing and continual evaluation</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A prototype is valuable because it reduces uncertainty. Tests should correspond to criteria and control relevant variables. User feedback can reveal comfort, understanding and preference, while performance tests can measure function, strength, stability, durability or accuracy. Evaluation continues as evidence is collected.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P4.3, P5.3.</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39</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Complete one controlled material or feature test and document the decision it changes.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testing, materials and evaluation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P4.2, P4.3, P6.1.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40</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Kitchen Companion completion / Camping launch</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Test materials, prototypes and function; interpret results and modify the Kitchen Companion design.</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P4.2, P4.3, P6.1.</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41</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Identifying a genuine camping need / From situation to design brief</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identifying a genuine camping need with from situation to design brief.</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Identify a genuine camping need and convert evidence, constraints and project criteria into a feasible compact product direction. Key terms: identified need, target market, design situation, design brief.</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P1.1, P4.1, P5.3.</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42</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Camping proposal and degree of difference</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A proposal explains the direction the project will explore and why it deserves development. Its degree of difference is the meaningful improvement or distinction from existing products. Difference has value only when it better addresses the identified need, not when novelty is added for its own sake.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P4.1, P5.3.</w:t>
            </w:r>
          </w:p>
        </w:tc>
      </w:tr>
    </w:tbl>
    <w:p>
      <w:r>
        <w:br w:type="page"/>
      </w:r>
    </w:p>
    <w:p>
      <w:pPr>
        <w:pStyle w:val="Heading1"/>
        <w:spacing w:before="0" w:after="100" w:line="240" w:lineRule="auto"/>
      </w:pPr>
      <w:r>
        <w:rPr>
          <w:rFonts w:ascii="Arial" w:hAnsi="Arial"/>
          <w:b/>
          <w:color w:val="173A32"/>
          <w:sz w:val="32"/>
        </w:rPr>
        <w:t>Blocks 43-48</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43</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Investigate a camping problem, define a target market and develop a justified proposal using current task requirements.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camping design project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P1.1, P4.1, P5.3.</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44</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Camping Environment - need and proposal</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Launch the Camping Environment task: identify and justify a genuine need, target market and feasible proposal.</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P1.1, P4.1, P5.3.</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45</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Action plans, time plans and milestones / Finance and resource management</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action plans, time plans and milestones with finance and resource management.</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Use action, time, finance, resource and WHS planning as active decision tools during project development and production. Key terms: action plan, time plan, finance plan, unit cost.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P4.2, P5.1.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46</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WHS, risk controls and production readiness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WHS involves more than wearing personal protective equipment. The designer and producer should identify hazards in materials, tools, processes and the work environment, assess risk, use the strongest reasonably practicable controls and follow current school procedures and training.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P4.2, P5.1.</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47</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Construct an integrated action, time, finance, resource and risk plan for the camping project, then update it after a simulated disruption.</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project management and safe production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P4.2, P5.1.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48</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Camping Environment - management and production readiness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Finalise action, time, finance, resource and WHS plans before production; confirm teacher approvals.</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P4.2, P5.1.</w:t>
            </w:r>
          </w:p>
        </w:tc>
      </w:tr>
    </w:tbl>
    <w:p>
      <w:r>
        <w:br w:type="page"/>
      </w:r>
    </w:p>
    <w:p>
      <w:pPr>
        <w:pStyle w:val="Heading1"/>
        <w:spacing w:before="0" w:after="100" w:line="240" w:lineRule="auto"/>
      </w:pPr>
      <w:r>
        <w:rPr>
          <w:rFonts w:ascii="Arial" w:hAnsi="Arial"/>
          <w:b/>
          <w:color w:val="173A32"/>
          <w:sz w:val="32"/>
        </w:rPr>
        <w:t>Blocks 49-54</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49</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Production sequence and quality assurance / Industrial and commercial production links</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production sequence and quality assurance with industrial and commercial production links.</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Plan and document a controlled production sequence that links workshop decisions to industrial and commercial practice. Key terms: production sequence, quality assurance, industrial setting, commercial setting.</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P4.2, P6.1.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50</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Recording practical skills and production decisions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Production evidence should allow another person to understand what was done, why it was done, what result was observed and what followed. Photographs are useful only when selected and captioned to show a decision, process, quality issue, modification or skill.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P4.2, P5.2.</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51</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Develop a production plan with process trials, quality checkpoints, evidence captions and an industrial/commercial comparison.</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manufacturing, quality and production evidence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P4.2, P6.1.</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52</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Camping Environment - production and quality</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Produce the camping solution with planned quality checkpoints and concise work-in-progress evidence.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P4.2, P6.1.</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53</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Ongoing and final evaluation / Marketing and commercial viability</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ongoing and final evaluation with marketing and commercial viability.</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Evaluate the completed solution and communicate a credible market position using evidence rather than unsupported claims. Key terms: final evaluation, limitation, marketing mix, commercial viability.</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P2.2, P4.3, P5.2.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54</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Life-cycle thinking and responsible design claims</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A product’s impact is distributed across raw-material extraction, processing, manufacture, transport, use, maintenance and end-of-life. Designers should avoid treating one recycled component or low-waste process as proof that the whole product is sustainable. Claims need scope, evidence and acknowledgement of trade-offs.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P2.2, P4.3.</w:t>
            </w:r>
          </w:p>
        </w:tc>
      </w:tr>
    </w:tbl>
    <w:p>
      <w:r>
        <w:br w:type="page"/>
      </w:r>
    </w:p>
    <w:p>
      <w:pPr>
        <w:pStyle w:val="Heading1"/>
        <w:spacing w:before="0" w:after="100" w:line="240" w:lineRule="auto"/>
      </w:pPr>
      <w:r>
        <w:rPr>
          <w:rFonts w:ascii="Arial" w:hAnsi="Arial"/>
          <w:b/>
          <w:color w:val="173A32"/>
          <w:sz w:val="32"/>
        </w:rPr>
        <w:t>Blocks 55-60</w:t>
      </w:r>
    </w:p>
    <w:tbl>
      <w:tblPr>
        <w:tblW w:type="auto" w:w="0"/>
        <w:jc w:val="center"/>
        <w:tblLayout w:type="fixed"/>
        <w:tblLook w:firstColumn="1" w:firstRow="1" w:lastColumn="0" w:lastRow="0" w:noHBand="0" w:noVBand="1" w:val="04A0"/>
        <w:tblBorders>
          <w:top w:val="single" w:sz="5" w:space="0" w:color="D9D2C6"/>
          <w:left w:val="single" w:sz="5" w:space="0" w:color="D9D2C6"/>
          <w:bottom w:val="single" w:sz="5" w:space="0" w:color="D9D2C6"/>
          <w:right w:val="single" w:sz="5" w:space="0" w:color="D9D2C6"/>
          <w:insideH w:val="single" w:sz="5" w:space="0" w:color="D9D2C6"/>
          <w:insideV w:val="single" w:sz="5" w:space="0" w:color="D9D2C6"/>
        </w:tblBorders>
      </w:tblPr>
      <w:tblGrid>
        <w:gridCol w:w="2404"/>
        <w:gridCol w:w="2404"/>
        <w:gridCol w:w="2404"/>
        <w:gridCol w:w="2404"/>
        <w:gridCol w:w="2404"/>
        <w:gridCol w:w="2404"/>
      </w:tblGrid>
      <w:tr>
        <w:trPr>
          <w:tblHeader w:val="true"/>
        </w:trPr>
        <w:tc>
          <w:tcPr>
            <w:tcW w:type="dxa" w:w="454"/>
            <w:tcMar>
              <w:top w:w="55" w:type="dxa"/>
              <w:start w:w="65" w:type="dxa"/>
              <w:bottom w:w="55" w:type="dxa"/>
              <w:end w:w="65" w:type="dxa"/>
            </w:tcMar>
            <w:shd w:fill="173A32"/>
          </w:tcPr>
          <w:p>
            <w:pPr>
              <w:spacing w:before="0" w:after="0" w:line="240" w:lineRule="auto"/>
            </w:pPr>
            <w:r>
              <w:rPr>
                <w:rFonts w:ascii="Arial" w:hAnsi="Arial"/>
                <w:b/>
                <w:color w:val="FFFFFF"/>
                <w:sz w:val="14"/>
              </w:rPr>
              <w:t>B</w:t>
            </w:r>
          </w:p>
        </w:tc>
        <w:tc>
          <w:tcPr>
            <w:tcW w:type="dxa" w:w="1361"/>
            <w:tcMar>
              <w:top w:w="55" w:type="dxa"/>
              <w:start w:w="65" w:type="dxa"/>
              <w:bottom w:w="55" w:type="dxa"/>
              <w:end w:w="65" w:type="dxa"/>
            </w:tcMar>
            <w:shd w:fill="173A32"/>
          </w:tcPr>
          <w:p>
            <w:pPr>
              <w:spacing w:before="0" w:after="0" w:line="240" w:lineRule="auto"/>
            </w:pPr>
            <w:r>
              <w:rPr>
                <w:rFonts w:ascii="Arial" w:hAnsi="Arial"/>
                <w:b/>
                <w:color w:val="FFFFFF"/>
                <w:sz w:val="14"/>
              </w:rPr>
              <w:t>Type</w:t>
            </w:r>
          </w:p>
        </w:tc>
        <w:tc>
          <w:tcPr>
            <w:tcW w:type="dxa" w:w="2268"/>
            <w:tcMar>
              <w:top w:w="55" w:type="dxa"/>
              <w:start w:w="65" w:type="dxa"/>
              <w:bottom w:w="55" w:type="dxa"/>
              <w:end w:w="65" w:type="dxa"/>
            </w:tcMar>
            <w:shd w:fill="173A32"/>
          </w:tcPr>
          <w:p>
            <w:pPr>
              <w:spacing w:before="0" w:after="0" w:line="240" w:lineRule="auto"/>
            </w:pPr>
            <w:r>
              <w:rPr>
                <w:rFonts w:ascii="Arial" w:hAnsi="Arial"/>
                <w:b/>
                <w:color w:val="FFFFFF"/>
                <w:sz w:val="14"/>
              </w:rPr>
              <w:t>Focus</w:t>
            </w:r>
          </w:p>
        </w:tc>
        <w:tc>
          <w:tcPr>
            <w:tcW w:type="dxa" w:w="4309"/>
            <w:tcMar>
              <w:top w:w="55" w:type="dxa"/>
              <w:start w:w="65" w:type="dxa"/>
              <w:bottom w:w="55" w:type="dxa"/>
              <w:end w:w="65" w:type="dxa"/>
            </w:tcMar>
            <w:shd w:fill="173A32"/>
          </w:tcPr>
          <w:p>
            <w:pPr>
              <w:spacing w:before="0" w:after="0" w:line="240" w:lineRule="auto"/>
            </w:pPr>
            <w:r>
              <w:rPr>
                <w:rFonts w:ascii="Arial" w:hAnsi="Arial"/>
                <w:b/>
                <w:color w:val="FFFFFF"/>
                <w:sz w:val="14"/>
              </w:rPr>
              <w:t>Teaching and learning</w:t>
            </w:r>
          </w:p>
        </w:tc>
        <w:tc>
          <w:tcPr>
            <w:tcW w:type="dxa" w:w="3231"/>
            <w:tcMar>
              <w:top w:w="55" w:type="dxa"/>
              <w:start w:w="65" w:type="dxa"/>
              <w:bottom w:w="55" w:type="dxa"/>
              <w:end w:w="65" w:type="dxa"/>
            </w:tcMar>
            <w:shd w:fill="173A32"/>
          </w:tcPr>
          <w:p>
            <w:pPr>
              <w:spacing w:before="0" w:after="0" w:line="240" w:lineRule="auto"/>
            </w:pPr>
            <w:r>
              <w:rPr>
                <w:rFonts w:ascii="Arial" w:hAnsi="Arial"/>
                <w:b/>
                <w:color w:val="FFFFFF"/>
                <w:sz w:val="14"/>
              </w:rPr>
              <w:t>Syllabus content</w:t>
            </w:r>
          </w:p>
        </w:tc>
        <w:tc>
          <w:tcPr>
            <w:tcW w:type="dxa" w:w="3402"/>
            <w:tcMar>
              <w:top w:w="55" w:type="dxa"/>
              <w:start w:w="65" w:type="dxa"/>
              <w:bottom w:w="55" w:type="dxa"/>
              <w:end w:w="65" w:type="dxa"/>
            </w:tcMar>
            <w:shd w:fill="173A32"/>
          </w:tcPr>
          <w:p>
            <w:pPr>
              <w:spacing w:before="0" w:after="0" w:line="240" w:lineRule="auto"/>
            </w:pPr>
            <w:r>
              <w:rPr>
                <w:rFonts w:ascii="Arial" w:hAnsi="Arial"/>
                <w:b/>
                <w:color w:val="FFFFFF"/>
                <w:sz w:val="14"/>
              </w:rPr>
              <w:t>Evidence / outcomes</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55</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Complete a criteria-based evaluation, life-cycle review and qualified marketing proposal for the camping product.</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marketing, sustainability and final evaluation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P2.2, P4.3, P5.2.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56</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Camping Environment - evaluation and communication</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Complete criteria-based testing, final evaluation, life-cycle review and a qualified marketing proposal.</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P2.2, P4.3, P5.2.</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57</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Theory + guided analysis</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Connecting the Preliminary course / Responding to command verbs and stimuli</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Explicit teaching and worked comparison. Students read the two sections, analyse examples and begin the linked knowledge checks. Use the module visual to connect connecting the preliminary course with responding to command verbs and stimuli.</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Integrate Preliminary knowledge, practise evidence-rich responses and carry disciplined project habits into the HSC course. Key terms: synthesis, trade-off, command verb, stimulus.</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Section notes, formative responses and one worked application. Outcomes: P1.1, P4.3, P5.2.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58</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Theory + formative response</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Readiness for the HSC course and Major Design Project</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 the third section, complete its ten-question check and model a justify response using Read-Select-Explain-Check. Students save one concise written response.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The HSC course applies and synthesises Preliminary learning through innovation study and the Major Design Project. Year 11 does not require students to preselect an MDP. It should build reliable habits: identifying a genuine need, using ethical research, managing scope, testing risk early, documenting decisions and evaluating honestly. Command-verb and evidence practice are embedded.</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Question feedback, saved written response and misconception correction. Outcomes: P4.3, P5.1, P5.3.</w:t>
            </w:r>
          </w:p>
        </w:tc>
      </w:tr>
      <w:tr>
        <w:trPr>
          <w:cantSplit/>
        </w:trPr>
        <w:tc>
          <w:tcPr>
            <w:tcW w:type="dxa" w:w="454"/>
            <w:tcMar>
              <w:top w:w="55" w:type="dxa"/>
              <w:start w:w="65" w:type="dxa"/>
              <w:bottom w:w="55" w:type="dxa"/>
              <w:end w:w="65" w:type="dxa"/>
            </w:tcMar>
            <w:shd w:fill="EDF3EF"/>
            <w:vAlign w:val="top"/>
          </w:tcPr>
          <w:p>
            <w:pPr>
              <w:spacing w:before="0" w:after="0" w:line="228" w:lineRule="auto"/>
            </w:pPr>
            <w:r>
              <w:rPr>
                <w:rFonts w:ascii="Arial" w:hAnsi="Arial"/>
                <w:b/>
                <w:color w:val="18231F"/>
                <w:sz w:val="14"/>
              </w:rPr>
              <w:t>59</w:t>
            </w:r>
          </w:p>
        </w:tc>
        <w:tc>
          <w:tcPr>
            <w:tcW w:type="dxa" w:w="136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Applied studio / folio</w:t>
            </w:r>
          </w:p>
        </w:tc>
        <w:tc>
          <w:tcPr>
            <w:tcW w:type="dxa" w:w="2268"/>
            <w:tcMar>
              <w:top w:w="55" w:type="dxa"/>
              <w:start w:w="65" w:type="dxa"/>
              <w:bottom w:w="55" w:type="dxa"/>
              <w:end w:w="65" w:type="dxa"/>
            </w:tcMar>
            <w:shd w:fill="EDF3EF"/>
            <w:vAlign w:val="top"/>
          </w:tcPr>
          <w:p>
            <w:pPr>
              <w:spacing w:before="0" w:after="0" w:line="228" w:lineRule="auto"/>
            </w:pPr>
            <w:r>
              <w:rPr>
                <w:rFonts w:ascii="Arial" w:hAnsi="Arial"/>
                <w:b/>
                <w:color w:val="18231F"/>
                <w:sz w:val="14"/>
              </w:rPr>
              <w:t>Complete a course audit, extended-response practice and MDP-readiness reflection based on evidence from the year.</w:t>
            </w:r>
          </w:p>
        </w:tc>
        <w:tc>
          <w:tcPr>
            <w:tcW w:type="dxa" w:w="4309"/>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Students apply the module ideas in a bounded activity, compare evidence, receive targeted feedback and save only the most useful evidence to the practice or formal folio as directed.</w:t>
            </w:r>
          </w:p>
        </w:tc>
        <w:tc>
          <w:tcPr>
            <w:tcW w:type="dxa" w:w="3231"/>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Application of preliminary synthesis and year 12 bridge to a project or unfamiliar design context.</w:t>
            </w:r>
          </w:p>
        </w:tc>
        <w:tc>
          <w:tcPr>
            <w:tcW w:type="dxa" w:w="3402"/>
            <w:tcMar>
              <w:top w:w="55" w:type="dxa"/>
              <w:start w:w="65" w:type="dxa"/>
              <w:bottom w:w="55" w:type="dxa"/>
              <w:end w:w="65" w:type="dxa"/>
            </w:tcMar>
            <w:shd w:fill="EDF3EF"/>
            <w:vAlign w:val="top"/>
          </w:tcPr>
          <w:p>
            <w:pPr>
              <w:spacing w:before="0" w:after="0" w:line="228" w:lineRule="auto"/>
            </w:pPr>
            <w:r>
              <w:rPr>
                <w:rFonts w:ascii="Arial" w:hAnsi="Arial"/>
                <w:b w:val="0"/>
                <w:color w:val="18231F"/>
                <w:sz w:val="14"/>
              </w:rPr>
              <w:t>Completed applied task, decision note and selected folio evidence. Outcomes: P1.1, P4.3, P5.2.</w:t>
            </w:r>
          </w:p>
        </w:tc>
      </w:tr>
      <w:tr>
        <w:trPr>
          <w:cantSplit/>
        </w:trPr>
        <w:tc>
          <w:tcPr>
            <w:tcW w:type="dxa" w:w="454"/>
            <w:tcMar>
              <w:top w:w="55" w:type="dxa"/>
              <w:start w:w="65" w:type="dxa"/>
              <w:bottom w:w="55" w:type="dxa"/>
              <w:end w:w="65" w:type="dxa"/>
            </w:tcMar>
            <w:shd w:fill="FFFFFF"/>
            <w:vAlign w:val="top"/>
          </w:tcPr>
          <w:p>
            <w:pPr>
              <w:spacing w:before="0" w:after="0" w:line="228" w:lineRule="auto"/>
            </w:pPr>
            <w:r>
              <w:rPr>
                <w:rFonts w:ascii="Arial" w:hAnsi="Arial"/>
                <w:b/>
                <w:color w:val="18231F"/>
                <w:sz w:val="14"/>
              </w:rPr>
              <w:t>60</w:t>
            </w:r>
          </w:p>
        </w:tc>
        <w:tc>
          <w:tcPr>
            <w:tcW w:type="dxa" w:w="136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 practical / synthesis</w:t>
            </w:r>
          </w:p>
        </w:tc>
        <w:tc>
          <w:tcPr>
            <w:tcW w:type="dxa" w:w="2268"/>
            <w:tcMar>
              <w:top w:w="55" w:type="dxa"/>
              <w:start w:w="65" w:type="dxa"/>
              <w:bottom w:w="55" w:type="dxa"/>
              <w:end w:w="65" w:type="dxa"/>
            </w:tcMar>
            <w:shd w:fill="FFFFFF"/>
            <w:vAlign w:val="top"/>
          </w:tcPr>
          <w:p>
            <w:pPr>
              <w:spacing w:before="0" w:after="0" w:line="228" w:lineRule="auto"/>
            </w:pPr>
            <w:r>
              <w:rPr>
                <w:rFonts w:ascii="Arial" w:hAnsi="Arial"/>
                <w:b/>
                <w:color w:val="18231F"/>
                <w:sz w:val="14"/>
              </w:rPr>
              <w:t>Course synthesis and transition</w:t>
            </w:r>
          </w:p>
        </w:tc>
        <w:tc>
          <w:tcPr>
            <w:tcW w:type="dxa" w:w="4309"/>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Complete course revision, response practice, evidence audit and transition reflection for the HSC course.</w:t>
            </w:r>
          </w:p>
        </w:tc>
        <w:tc>
          <w:tcPr>
            <w:tcW w:type="dxa" w:w="3231"/>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Project learning is integrated with current teacher-approved instructions, available resources and local WHS controls. Formal assessment requirements are not altered by this program.</w:t>
            </w:r>
          </w:p>
        </w:tc>
        <w:tc>
          <w:tcPr>
            <w:tcW w:type="dxa" w:w="3402"/>
            <w:tcMar>
              <w:top w:w="55" w:type="dxa"/>
              <w:start w:w="65" w:type="dxa"/>
              <w:bottom w:w="55" w:type="dxa"/>
              <w:end w:w="65" w:type="dxa"/>
            </w:tcMar>
            <w:shd w:fill="FFFFFF"/>
            <w:vAlign w:val="top"/>
          </w:tcPr>
          <w:p>
            <w:pPr>
              <w:spacing w:before="0" w:after="0" w:line="228" w:lineRule="auto"/>
            </w:pPr>
            <w:r>
              <w:rPr>
                <w:rFonts w:ascii="Arial" w:hAnsi="Arial"/>
                <w:b w:val="0"/>
                <w:color w:val="18231F"/>
                <w:sz w:val="14"/>
              </w:rPr>
              <w:t>Teacher-selected checkpoint, practical or communication evidence and ongoing evaluation. Outcomes: P1.1, P4.3, P5.2.</w:t>
            </w:r>
          </w:p>
        </w:tc>
      </w:tr>
    </w:tbl>
    <w:p>
      <w:r>
        <w:br w:type="page"/>
      </w:r>
    </w:p>
    <w:p>
      <w:pPr>
        <w:pStyle w:val="Title"/>
      </w:pPr>
      <w:r>
        <w:t>Source register and control boundary</w:t>
      </w:r>
    </w:p>
    <w:p>
      <w:pPr>
        <w:spacing w:before="0" w:after="160" w:line="240" w:lineRule="auto"/>
      </w:pPr>
      <w:r>
        <w:rPr>
          <w:rFonts w:ascii="Arial" w:hAnsi="Arial"/>
          <w:b/>
          <w:color w:val="173A32"/>
          <w:sz w:val="18"/>
        </w:rPr>
        <w:t>Authority order: current NESA syllabus and ACE requirements → current school assessment/task documents → current teacher-approved project, practical and WHS instructions → course support materials → this program/site.</w:t>
      </w:r>
    </w:p>
    <w:tbl>
      <w:tblPr>
        <w:tblW w:type="auto" w:w="0"/>
        <w:jc w:val="center"/>
        <w:tblLayout w:type="fixed"/>
        <w:tblLook w:firstColumn="1" w:firstRow="1" w:lastColumn="0" w:lastRow="0" w:noHBand="0" w:noVBand="1" w:val="04A0"/>
        <w:tblBorders>
          <w:top w:val="single" w:sz="6" w:space="0" w:color="D9D2C6"/>
          <w:left w:val="single" w:sz="6" w:space="0" w:color="D9D2C6"/>
          <w:bottom w:val="single" w:sz="6" w:space="0" w:color="D9D2C6"/>
          <w:right w:val="single" w:sz="6" w:space="0" w:color="D9D2C6"/>
          <w:insideH w:val="single" w:sz="6" w:space="0" w:color="D9D2C6"/>
          <w:insideV w:val="single" w:sz="6" w:space="0" w:color="D9D2C6"/>
        </w:tblBorders>
      </w:tblPr>
      <w:tblGrid>
        <w:gridCol w:w="3605"/>
        <w:gridCol w:w="3605"/>
        <w:gridCol w:w="3605"/>
        <w:gridCol w:w="3605"/>
      </w:tblGrid>
      <w:tr>
        <w:trPr>
          <w:tblHeader w:val="true"/>
        </w:trPr>
        <w:tc>
          <w:tcPr>
            <w:tcW w:type="dxa" w:w="3572"/>
            <w:tcMar>
              <w:top w:w="70" w:type="dxa"/>
              <w:start w:w="90" w:type="dxa"/>
              <w:bottom w:w="70" w:type="dxa"/>
              <w:end w:w="90" w:type="dxa"/>
            </w:tcMar>
            <w:shd w:fill="173A32"/>
          </w:tcPr>
          <w:p>
            <w:pPr>
              <w:spacing w:before="0" w:after="0" w:line="240" w:lineRule="auto"/>
            </w:pPr>
            <w:r>
              <w:rPr>
                <w:rFonts w:ascii="Arial" w:hAnsi="Arial"/>
                <w:b/>
                <w:color w:val="FFFFFF"/>
                <w:sz w:val="16"/>
              </w:rPr>
              <w:t>Source</w:t>
            </w:r>
          </w:p>
        </w:tc>
        <w:tc>
          <w:tcPr>
            <w:tcW w:type="dxa" w:w="4989"/>
            <w:tcMar>
              <w:top w:w="70" w:type="dxa"/>
              <w:start w:w="90" w:type="dxa"/>
              <w:bottom w:w="70" w:type="dxa"/>
              <w:end w:w="90" w:type="dxa"/>
            </w:tcMar>
            <w:shd w:fill="173A32"/>
          </w:tcPr>
          <w:p>
            <w:pPr>
              <w:spacing w:before="0" w:after="0" w:line="240" w:lineRule="auto"/>
            </w:pPr>
            <w:r>
              <w:rPr>
                <w:rFonts w:ascii="Arial" w:hAnsi="Arial"/>
                <w:b/>
                <w:color w:val="FFFFFF"/>
                <w:sz w:val="16"/>
              </w:rPr>
              <w:t>Used for</w:t>
            </w:r>
          </w:p>
        </w:tc>
        <w:tc>
          <w:tcPr>
            <w:tcW w:type="dxa" w:w="4932"/>
            <w:tcMar>
              <w:top w:w="70" w:type="dxa"/>
              <w:start w:w="90" w:type="dxa"/>
              <w:bottom w:w="70" w:type="dxa"/>
              <w:end w:w="90" w:type="dxa"/>
            </w:tcMar>
            <w:shd w:fill="173A32"/>
          </w:tcPr>
          <w:p>
            <w:pPr>
              <w:spacing w:before="0" w:after="0" w:line="240" w:lineRule="auto"/>
            </w:pPr>
            <w:r>
              <w:rPr>
                <w:rFonts w:ascii="Arial" w:hAnsi="Arial"/>
                <w:b/>
                <w:color w:val="FFFFFF"/>
                <w:sz w:val="16"/>
              </w:rPr>
              <w:t>Status / boundary</w:t>
            </w:r>
          </w:p>
        </w:tc>
        <w:tc>
          <w:tcPr>
            <w:tcW w:type="dxa" w:w="1701"/>
            <w:tcMar>
              <w:top w:w="70" w:type="dxa"/>
              <w:start w:w="90" w:type="dxa"/>
              <w:bottom w:w="70" w:type="dxa"/>
              <w:end w:w="90" w:type="dxa"/>
            </w:tcMar>
            <w:shd w:fill="173A32"/>
          </w:tcPr>
          <w:p>
            <w:pPr>
              <w:spacing w:before="0" w:after="0" w:line="240" w:lineRule="auto"/>
            </w:pPr>
            <w:r>
              <w:rPr>
                <w:rFonts w:ascii="Arial" w:hAnsi="Arial"/>
                <w:b/>
                <w:color w:val="FFFFFF"/>
                <w:sz w:val="16"/>
              </w:rPr>
              <w:t>Link</w:t>
            </w:r>
          </w:p>
        </w:tc>
      </w:tr>
      <w:tr>
        <w:trPr>
          <w:cantSplit/>
        </w:trPr>
        <w:tc>
          <w:tcPr>
            <w:tcW w:type="dxa" w:w="3572"/>
            <w:tcMar>
              <w:top w:w="70" w:type="dxa"/>
              <w:start w:w="90" w:type="dxa"/>
              <w:bottom w:w="70" w:type="dxa"/>
              <w:end w:w="90" w:type="dxa"/>
            </w:tcMar>
            <w:shd w:fill="EDF3EF"/>
          </w:tcPr>
          <w:p>
            <w:pPr>
              <w:spacing w:before="0" w:after="0" w:line="228" w:lineRule="auto"/>
            </w:pPr>
            <w:r>
              <w:rPr>
                <w:rFonts w:ascii="Arial" w:hAnsi="Arial"/>
                <w:b/>
                <w:color w:val="18231F"/>
                <w:sz w:val="14"/>
              </w:rPr>
              <w:t>Design and Technology Stage 6 Syllabus (2013) - official course page</w:t>
              <w:br/>
              <w:t>Official syllabus authority</w:t>
            </w:r>
          </w:p>
        </w:tc>
        <w:tc>
          <w:tcPr>
            <w:tcW w:type="dxa" w:w="4989"/>
            <w:tcMar>
              <w:top w:w="70" w:type="dxa"/>
              <w:start w:w="90" w:type="dxa"/>
              <w:bottom w:w="70" w:type="dxa"/>
              <w:end w:w="90" w:type="dxa"/>
            </w:tcMar>
            <w:shd w:fill="EDF3EF"/>
          </w:tcPr>
          <w:p>
            <w:pPr>
              <w:spacing w:before="0" w:after="0" w:line="228" w:lineRule="auto"/>
            </w:pPr>
            <w:r>
              <w:rPr>
                <w:rFonts w:ascii="Arial" w:hAnsi="Arial"/>
                <w:b w:val="0"/>
                <w:color w:val="18231F"/>
                <w:sz w:val="14"/>
              </w:rPr>
              <w:t>Course requirements, Preliminary/HSC scope, project requirements and official course boundary</w:t>
            </w:r>
          </w:p>
        </w:tc>
        <w:tc>
          <w:tcPr>
            <w:tcW w:type="dxa" w:w="4932"/>
            <w:tcMar>
              <w:top w:w="70" w:type="dxa"/>
              <w:start w:w="90" w:type="dxa"/>
              <w:bottom w:w="70" w:type="dxa"/>
              <w:end w:w="90" w:type="dxa"/>
            </w:tcMar>
            <w:shd w:fill="EDF3EF"/>
          </w:tcPr>
          <w:p>
            <w:pPr>
              <w:spacing w:before="0" w:after="0" w:line="228" w:lineRule="auto"/>
            </w:pPr>
            <w:r>
              <w:rPr>
                <w:rFonts w:ascii="Arial" w:hAnsi="Arial"/>
                <w:b w:val="0"/>
                <w:color w:val="18231F"/>
                <w:sz w:val="14"/>
              </w:rPr>
              <w:t>Current syllabus taught in Years 11-12 at build date</w:t>
            </w:r>
          </w:p>
        </w:tc>
        <w:tc>
          <w:tcPr>
            <w:tcW w:type="dxa" w:w="1701"/>
            <w:tcMar>
              <w:top w:w="70" w:type="dxa"/>
              <w:start w:w="90" w:type="dxa"/>
              <w:bottom w:w="70" w:type="dxa"/>
              <w:end w:w="90" w:type="dxa"/>
            </w:tcMar>
            <w:shd w:fill="EDF3EF"/>
          </w:tcPr>
          <w:p>
            <w:hyperlink r:id="rId11">
              <w:r>
                <w:rPr>
                  <w:color w:val="173A32"/>
                  <w:u w:val="single"/>
                </w:rPr>
                <w:t>Open source</w:t>
              </w:r>
            </w:hyperlink>
          </w:p>
        </w:tc>
      </w:tr>
      <w:tr>
        <w:trPr>
          <w:cantSplit/>
        </w:trPr>
        <w:tc>
          <w:tcPr>
            <w:tcW w:type="dxa" w:w="3572"/>
            <w:tcMar>
              <w:top w:w="70" w:type="dxa"/>
              <w:start w:w="90" w:type="dxa"/>
              <w:bottom w:w="70" w:type="dxa"/>
              <w:end w:w="90" w:type="dxa"/>
            </w:tcMar>
            <w:shd w:fill="FFFFFF"/>
          </w:tcPr>
          <w:p>
            <w:pPr>
              <w:spacing w:before="0" w:after="0" w:line="228" w:lineRule="auto"/>
            </w:pPr>
            <w:r>
              <w:rPr>
                <w:rFonts w:ascii="Arial" w:hAnsi="Arial"/>
                <w:b/>
                <w:color w:val="18231F"/>
                <w:sz w:val="14"/>
              </w:rPr>
              <w:t>Year 11 Design and Technology authorised Google Drive folder</w:t>
              <w:br/>
              <w:t>School source collection</w:t>
            </w:r>
          </w:p>
        </w:tc>
        <w:tc>
          <w:tcPr>
            <w:tcW w:type="dxa" w:w="4989"/>
            <w:tcMar>
              <w:top w:w="70" w:type="dxa"/>
              <w:start w:w="90" w:type="dxa"/>
              <w:bottom w:w="70" w:type="dxa"/>
              <w:end w:w="90" w:type="dxa"/>
            </w:tcMar>
            <w:shd w:fill="FFFFFF"/>
          </w:tcPr>
          <w:p>
            <w:pPr>
              <w:spacing w:before="0" w:after="0" w:line="228" w:lineRule="auto"/>
            </w:pPr>
            <w:r>
              <w:rPr>
                <w:rFonts w:ascii="Arial" w:hAnsi="Arial"/>
                <w:b w:val="0"/>
                <w:color w:val="18231F"/>
                <w:sz w:val="14"/>
              </w:rPr>
              <w:t>Task notices, project briefs, worksheets, media and teacher resources</w:t>
            </w:r>
          </w:p>
        </w:tc>
        <w:tc>
          <w:tcPr>
            <w:tcW w:type="dxa" w:w="4932"/>
            <w:tcMar>
              <w:top w:w="70" w:type="dxa"/>
              <w:start w:w="90" w:type="dxa"/>
              <w:bottom w:w="70" w:type="dxa"/>
              <w:end w:w="90" w:type="dxa"/>
            </w:tcMar>
            <w:shd w:fill="FFFFFF"/>
          </w:tcPr>
          <w:p>
            <w:pPr>
              <w:spacing w:before="0" w:after="0" w:line="228" w:lineRule="auto"/>
            </w:pPr>
            <w:r>
              <w:rPr>
                <w:rFonts w:ascii="Arial" w:hAnsi="Arial"/>
                <w:b w:val="0"/>
                <w:color w:val="18231F"/>
                <w:sz w:val="14"/>
              </w:rPr>
              <w:t>Teacher-controlled</w:t>
            </w:r>
          </w:p>
        </w:tc>
        <w:tc>
          <w:tcPr>
            <w:tcW w:type="dxa" w:w="1701"/>
            <w:tcMar>
              <w:top w:w="70" w:type="dxa"/>
              <w:start w:w="90" w:type="dxa"/>
              <w:bottom w:w="70" w:type="dxa"/>
              <w:end w:w="90" w:type="dxa"/>
            </w:tcMar>
            <w:shd w:fill="FFFFFF"/>
          </w:tcPr>
          <w:p>
            <w:hyperlink r:id="rId12">
              <w:r>
                <w:rPr>
                  <w:color w:val="173A32"/>
                  <w:u w:val="single"/>
                </w:rPr>
                <w:t>Open source</w:t>
              </w:r>
            </w:hyperlink>
          </w:p>
        </w:tc>
      </w:tr>
      <w:tr>
        <w:trPr>
          <w:cantSplit/>
        </w:trPr>
        <w:tc>
          <w:tcPr>
            <w:tcW w:type="dxa" w:w="3572"/>
            <w:tcMar>
              <w:top w:w="70" w:type="dxa"/>
              <w:start w:w="90" w:type="dxa"/>
              <w:bottom w:w="70" w:type="dxa"/>
              <w:end w:w="90" w:type="dxa"/>
            </w:tcMar>
            <w:shd w:fill="EDF3EF"/>
          </w:tcPr>
          <w:p>
            <w:pPr>
              <w:spacing w:before="0" w:after="0" w:line="228" w:lineRule="auto"/>
            </w:pPr>
            <w:r>
              <w:rPr>
                <w:rFonts w:ascii="Arial" w:hAnsi="Arial"/>
                <w:b/>
                <w:color w:val="18231F"/>
                <w:sz w:val="14"/>
              </w:rPr>
              <w:t>2026 Preliminary Task 1 - Research Assignment</w:t>
              <w:br/>
              <w:t>Formal school assessment notice</w:t>
            </w:r>
          </w:p>
        </w:tc>
        <w:tc>
          <w:tcPr>
            <w:tcW w:type="dxa" w:w="4989"/>
            <w:tcMar>
              <w:top w:w="70" w:type="dxa"/>
              <w:start w:w="90" w:type="dxa"/>
              <w:bottom w:w="70" w:type="dxa"/>
              <w:end w:w="90" w:type="dxa"/>
            </w:tcMar>
            <w:shd w:fill="EDF3EF"/>
          </w:tcPr>
          <w:p>
            <w:pPr>
              <w:spacing w:before="0" w:after="0" w:line="228" w:lineRule="auto"/>
            </w:pPr>
            <w:r>
              <w:rPr>
                <w:rFonts w:ascii="Arial" w:hAnsi="Arial"/>
                <w:b w:val="0"/>
                <w:color w:val="18231F"/>
                <w:sz w:val="14"/>
              </w:rPr>
              <w:t>Research Assignment project page, confirmed 35% weighting, outcomes and communication requirements</w:t>
            </w:r>
          </w:p>
        </w:tc>
        <w:tc>
          <w:tcPr>
            <w:tcW w:type="dxa" w:w="4932"/>
            <w:tcMar>
              <w:top w:w="70" w:type="dxa"/>
              <w:start w:w="90" w:type="dxa"/>
              <w:bottom w:w="70" w:type="dxa"/>
              <w:end w:w="90" w:type="dxa"/>
            </w:tcMar>
            <w:shd w:fill="EDF3EF"/>
          </w:tcPr>
          <w:p>
            <w:pPr>
              <w:spacing w:before="0" w:after="0" w:line="228" w:lineRule="auto"/>
            </w:pPr>
            <w:r>
              <w:rPr>
                <w:rFonts w:ascii="Arial" w:hAnsi="Arial"/>
                <w:b w:val="0"/>
                <w:color w:val="18231F"/>
                <w:sz w:val="14"/>
              </w:rPr>
              <w:t>2026 source record - current notice remains authority</w:t>
            </w:r>
          </w:p>
        </w:tc>
        <w:tc>
          <w:tcPr>
            <w:tcW w:type="dxa" w:w="1701"/>
            <w:tcMar>
              <w:top w:w="70" w:type="dxa"/>
              <w:start w:w="90" w:type="dxa"/>
              <w:bottom w:w="70" w:type="dxa"/>
              <w:end w:w="90" w:type="dxa"/>
            </w:tcMar>
            <w:shd w:fill="EDF3EF"/>
          </w:tcPr>
          <w:p>
            <w:hyperlink r:id="rId13">
              <w:r>
                <w:rPr>
                  <w:color w:val="173A32"/>
                  <w:u w:val="single"/>
                </w:rPr>
                <w:t>Open source</w:t>
              </w:r>
            </w:hyperlink>
          </w:p>
        </w:tc>
      </w:tr>
      <w:tr>
        <w:trPr>
          <w:cantSplit/>
        </w:trPr>
        <w:tc>
          <w:tcPr>
            <w:tcW w:type="dxa" w:w="3572"/>
            <w:tcMar>
              <w:top w:w="70" w:type="dxa"/>
              <w:start w:w="90" w:type="dxa"/>
              <w:bottom w:w="70" w:type="dxa"/>
              <w:end w:w="90" w:type="dxa"/>
            </w:tcMar>
            <w:shd w:fill="FFFFFF"/>
          </w:tcPr>
          <w:p>
            <w:pPr>
              <w:spacing w:before="0" w:after="0" w:line="228" w:lineRule="auto"/>
            </w:pPr>
            <w:r>
              <w:rPr>
                <w:rFonts w:ascii="Arial" w:hAnsi="Arial"/>
                <w:b/>
                <w:color w:val="18231F"/>
                <w:sz w:val="14"/>
              </w:rPr>
              <w:t>Year 11 Design and Technology - Project 1: The Kitchen Companion</w:t>
              <w:br/>
              <w:t>Teacher-approved course project brief</w:t>
            </w:r>
          </w:p>
        </w:tc>
        <w:tc>
          <w:tcPr>
            <w:tcW w:type="dxa" w:w="4989"/>
            <w:tcMar>
              <w:top w:w="70" w:type="dxa"/>
              <w:start w:w="90" w:type="dxa"/>
              <w:bottom w:w="70" w:type="dxa"/>
              <w:end w:w="90" w:type="dxa"/>
            </w:tcMar>
            <w:shd w:fill="FFFFFF"/>
          </w:tcPr>
          <w:p>
            <w:pPr>
              <w:spacing w:before="0" w:after="0" w:line="228" w:lineRule="auto"/>
            </w:pPr>
            <w:r>
              <w:rPr>
                <w:rFonts w:ascii="Arial" w:hAnsi="Arial"/>
                <w:b w:val="0"/>
                <w:color w:val="18231F"/>
                <w:sz w:val="14"/>
              </w:rPr>
              <w:t>Collaborative design, Six Thinking Hats, CAD, 3D printing, 0.2 mm moving-part tolerance and eight-page group folio</w:t>
            </w:r>
          </w:p>
        </w:tc>
        <w:tc>
          <w:tcPr>
            <w:tcW w:type="dxa" w:w="4932"/>
            <w:tcMar>
              <w:top w:w="70" w:type="dxa"/>
              <w:start w:w="90" w:type="dxa"/>
              <w:bottom w:w="70" w:type="dxa"/>
              <w:end w:w="90" w:type="dxa"/>
            </w:tcMar>
            <w:shd w:fill="FFFFFF"/>
          </w:tcPr>
          <w:p>
            <w:pPr>
              <w:spacing w:before="0" w:after="0" w:line="228" w:lineRule="auto"/>
            </w:pPr>
            <w:r>
              <w:rPr>
                <w:rFonts w:ascii="Arial" w:hAnsi="Arial"/>
                <w:b w:val="0"/>
                <w:color w:val="18231F"/>
                <w:sz w:val="14"/>
              </w:rPr>
              <w:t>Source brief</w:t>
            </w:r>
          </w:p>
        </w:tc>
        <w:tc>
          <w:tcPr>
            <w:tcW w:type="dxa" w:w="1701"/>
            <w:tcMar>
              <w:top w:w="70" w:type="dxa"/>
              <w:start w:w="90" w:type="dxa"/>
              <w:bottom w:w="70" w:type="dxa"/>
              <w:end w:w="90" w:type="dxa"/>
            </w:tcMar>
            <w:shd w:fill="FFFFFF"/>
          </w:tcPr>
          <w:p>
            <w:hyperlink r:id="rId14">
              <w:r>
                <w:rPr>
                  <w:color w:val="173A32"/>
                  <w:u w:val="single"/>
                </w:rPr>
                <w:t>Open source</w:t>
              </w:r>
            </w:hyperlink>
          </w:p>
        </w:tc>
      </w:tr>
      <w:tr>
        <w:trPr>
          <w:cantSplit/>
        </w:trPr>
        <w:tc>
          <w:tcPr>
            <w:tcW w:type="dxa" w:w="3572"/>
            <w:tcMar>
              <w:top w:w="70" w:type="dxa"/>
              <w:start w:w="90" w:type="dxa"/>
              <w:bottom w:w="70" w:type="dxa"/>
              <w:end w:w="90" w:type="dxa"/>
            </w:tcMar>
            <w:shd w:fill="EDF3EF"/>
          </w:tcPr>
          <w:p>
            <w:pPr>
              <w:spacing w:before="0" w:after="0" w:line="228" w:lineRule="auto"/>
            </w:pPr>
            <w:r>
              <w:rPr>
                <w:rFonts w:ascii="Arial" w:hAnsi="Arial"/>
                <w:b/>
                <w:color w:val="18231F"/>
                <w:sz w:val="14"/>
              </w:rPr>
              <w:t>2026 Preliminary Task 2 - Camping Environment</w:t>
              <w:br/>
              <w:t>Formal school assessment notice</w:t>
            </w:r>
          </w:p>
        </w:tc>
        <w:tc>
          <w:tcPr>
            <w:tcW w:type="dxa" w:w="4989"/>
            <w:tcMar>
              <w:top w:w="70" w:type="dxa"/>
              <w:start w:w="90" w:type="dxa"/>
              <w:bottom w:w="70" w:type="dxa"/>
              <w:end w:w="90" w:type="dxa"/>
            </w:tcMar>
            <w:shd w:fill="EDF3EF"/>
          </w:tcPr>
          <w:p>
            <w:pPr>
              <w:spacing w:before="0" w:after="0" w:line="228" w:lineRule="auto"/>
            </w:pPr>
            <w:r>
              <w:rPr>
                <w:rFonts w:ascii="Arial" w:hAnsi="Arial"/>
                <w:b w:val="0"/>
                <w:color w:val="18231F"/>
                <w:sz w:val="14"/>
              </w:rPr>
              <w:t>Camping project, confirmed 40% weighting, A$30 construction limit, compact/marketable criteria and MDP-aligned folio structure</w:t>
            </w:r>
          </w:p>
        </w:tc>
        <w:tc>
          <w:tcPr>
            <w:tcW w:type="dxa" w:w="4932"/>
            <w:tcMar>
              <w:top w:w="70" w:type="dxa"/>
              <w:start w:w="90" w:type="dxa"/>
              <w:bottom w:w="70" w:type="dxa"/>
              <w:end w:w="90" w:type="dxa"/>
            </w:tcMar>
            <w:shd w:fill="EDF3EF"/>
          </w:tcPr>
          <w:p>
            <w:pPr>
              <w:spacing w:before="0" w:after="0" w:line="228" w:lineRule="auto"/>
            </w:pPr>
            <w:r>
              <w:rPr>
                <w:rFonts w:ascii="Arial" w:hAnsi="Arial"/>
                <w:b w:val="0"/>
                <w:color w:val="18231F"/>
                <w:sz w:val="14"/>
              </w:rPr>
              <w:t>2026 source record - current notice remains authority</w:t>
            </w:r>
          </w:p>
        </w:tc>
        <w:tc>
          <w:tcPr>
            <w:tcW w:type="dxa" w:w="1701"/>
            <w:tcMar>
              <w:top w:w="70" w:type="dxa"/>
              <w:start w:w="90" w:type="dxa"/>
              <w:bottom w:w="70" w:type="dxa"/>
              <w:end w:w="90" w:type="dxa"/>
            </w:tcMar>
            <w:shd w:fill="EDF3EF"/>
          </w:tcPr>
          <w:p>
            <w:hyperlink r:id="rId15">
              <w:r>
                <w:rPr>
                  <w:color w:val="173A32"/>
                  <w:u w:val="single"/>
                </w:rPr>
                <w:t>Open source</w:t>
              </w:r>
            </w:hyperlink>
          </w:p>
        </w:tc>
      </w:tr>
      <w:tr>
        <w:trPr>
          <w:cantSplit/>
        </w:trPr>
        <w:tc>
          <w:tcPr>
            <w:tcW w:type="dxa" w:w="3572"/>
            <w:tcMar>
              <w:top w:w="70" w:type="dxa"/>
              <w:start w:w="90" w:type="dxa"/>
              <w:bottom w:w="70" w:type="dxa"/>
              <w:end w:w="90" w:type="dxa"/>
            </w:tcMar>
            <w:shd w:fill="FFFFFF"/>
          </w:tcPr>
          <w:p>
            <w:pPr>
              <w:spacing w:before="0" w:after="0" w:line="228" w:lineRule="auto"/>
            </w:pPr>
            <w:r>
              <w:rPr>
                <w:rFonts w:ascii="Arial" w:hAnsi="Arial"/>
                <w:b/>
                <w:color w:val="18231F"/>
                <w:sz w:val="14"/>
              </w:rPr>
              <w:t>Design Technology Preliminary Teacher Answer Booklet</w:t>
              <w:br/>
              <w:t>Teacher-authored course support</w:t>
            </w:r>
          </w:p>
        </w:tc>
        <w:tc>
          <w:tcPr>
            <w:tcW w:type="dxa" w:w="4989"/>
            <w:tcMar>
              <w:top w:w="70" w:type="dxa"/>
              <w:start w:w="90" w:type="dxa"/>
              <w:bottom w:w="70" w:type="dxa"/>
              <w:end w:w="90" w:type="dxa"/>
            </w:tcMar>
            <w:shd w:fill="FFFFFF"/>
          </w:tcPr>
          <w:p>
            <w:pPr>
              <w:spacing w:before="0" w:after="0" w:line="228" w:lineRule="auto"/>
            </w:pPr>
            <w:r>
              <w:rPr>
                <w:rFonts w:ascii="Arial" w:hAnsi="Arial"/>
                <w:b w:val="0"/>
                <w:color w:val="18231F"/>
                <w:sz w:val="14"/>
              </w:rPr>
              <w:t>Course terminology, command verbs, exam response quality, design factors, research, WHS, CAD/CAM/CNC, sustainability and evaluation</w:t>
            </w:r>
          </w:p>
        </w:tc>
        <w:tc>
          <w:tcPr>
            <w:tcW w:type="dxa" w:w="4932"/>
            <w:tcMar>
              <w:top w:w="70" w:type="dxa"/>
              <w:start w:w="90" w:type="dxa"/>
              <w:bottom w:w="70" w:type="dxa"/>
              <w:end w:w="90" w:type="dxa"/>
            </w:tcMar>
            <w:shd w:fill="FFFFFF"/>
          </w:tcPr>
          <w:p>
            <w:pPr>
              <w:spacing w:before="0" w:after="0" w:line="228" w:lineRule="auto"/>
            </w:pPr>
            <w:r>
              <w:rPr>
                <w:rFonts w:ascii="Arial" w:hAnsi="Arial"/>
                <w:b w:val="0"/>
                <w:color w:val="18231F"/>
                <w:sz w:val="14"/>
              </w:rPr>
              <w:t>Indicative/model answers; not the only acceptable answers</w:t>
            </w:r>
          </w:p>
        </w:tc>
        <w:tc>
          <w:tcPr>
            <w:tcW w:type="dxa" w:w="1701"/>
            <w:tcMar>
              <w:top w:w="70" w:type="dxa"/>
              <w:start w:w="90" w:type="dxa"/>
              <w:bottom w:w="70" w:type="dxa"/>
              <w:end w:w="90" w:type="dxa"/>
            </w:tcMar>
            <w:shd w:fill="FFFFFF"/>
          </w:tcPr>
          <w:p>
            <w:hyperlink r:id="rId16">
              <w:r>
                <w:rPr>
                  <w:color w:val="173A32"/>
                  <w:u w:val="single"/>
                </w:rPr>
                <w:t>Open source</w:t>
              </w:r>
            </w:hyperlink>
          </w:p>
        </w:tc>
      </w:tr>
      <w:tr>
        <w:trPr>
          <w:cantSplit/>
        </w:trPr>
        <w:tc>
          <w:tcPr>
            <w:tcW w:type="dxa" w:w="3572"/>
            <w:tcMar>
              <w:top w:w="70" w:type="dxa"/>
              <w:start w:w="90" w:type="dxa"/>
              <w:bottom w:w="70" w:type="dxa"/>
              <w:end w:w="90" w:type="dxa"/>
            </w:tcMar>
            <w:shd w:fill="EDF3EF"/>
          </w:tcPr>
          <w:p>
            <w:pPr>
              <w:spacing w:before="0" w:after="0" w:line="228" w:lineRule="auto"/>
            </w:pPr>
            <w:r>
              <w:rPr>
                <w:rFonts w:ascii="Arial" w:hAnsi="Arial"/>
                <w:b/>
                <w:color w:val="18231F"/>
                <w:sz w:val="14"/>
              </w:rPr>
              <w:t>Intro to Basic Sketching</w:t>
              <w:br/>
              <w:t>Teacher-curated resource folder</w:t>
            </w:r>
          </w:p>
        </w:tc>
        <w:tc>
          <w:tcPr>
            <w:tcW w:type="dxa" w:w="4989"/>
            <w:tcMar>
              <w:top w:w="70" w:type="dxa"/>
              <w:start w:w="90" w:type="dxa"/>
              <w:bottom w:w="70" w:type="dxa"/>
              <w:end w:w="90" w:type="dxa"/>
            </w:tcMar>
            <w:shd w:fill="EDF3EF"/>
          </w:tcPr>
          <w:p>
            <w:pPr>
              <w:spacing w:before="0" w:after="0" w:line="228" w:lineRule="auto"/>
            </w:pPr>
            <w:r>
              <w:rPr>
                <w:rFonts w:ascii="Arial" w:hAnsi="Arial"/>
                <w:b w:val="0"/>
                <w:color w:val="18231F"/>
                <w:sz w:val="14"/>
              </w:rPr>
              <w:t>Graphical communication and sketching practice</w:t>
            </w:r>
          </w:p>
        </w:tc>
        <w:tc>
          <w:tcPr>
            <w:tcW w:type="dxa" w:w="4932"/>
            <w:tcMar>
              <w:top w:w="70" w:type="dxa"/>
              <w:start w:w="90" w:type="dxa"/>
              <w:bottom w:w="70" w:type="dxa"/>
              <w:end w:w="90" w:type="dxa"/>
            </w:tcMar>
            <w:shd w:fill="EDF3EF"/>
          </w:tcPr>
          <w:p>
            <w:pPr>
              <w:spacing w:before="0" w:after="0" w:line="228" w:lineRule="auto"/>
            </w:pPr>
            <w:r>
              <w:rPr>
                <w:rFonts w:ascii="Arial" w:hAnsi="Arial"/>
                <w:b w:val="0"/>
                <w:color w:val="18231F"/>
                <w:sz w:val="14"/>
              </w:rPr>
              <w:t>Drive permissions apply</w:t>
            </w:r>
          </w:p>
        </w:tc>
        <w:tc>
          <w:tcPr>
            <w:tcW w:type="dxa" w:w="1701"/>
            <w:tcMar>
              <w:top w:w="70" w:type="dxa"/>
              <w:start w:w="90" w:type="dxa"/>
              <w:bottom w:w="70" w:type="dxa"/>
              <w:end w:w="90" w:type="dxa"/>
            </w:tcMar>
            <w:shd w:fill="EDF3EF"/>
          </w:tcPr>
          <w:p>
            <w:hyperlink r:id="rId17">
              <w:r>
                <w:rPr>
                  <w:color w:val="173A32"/>
                  <w:u w:val="single"/>
                </w:rPr>
                <w:t>Open source</w:t>
              </w:r>
            </w:hyperlink>
          </w:p>
        </w:tc>
      </w:tr>
      <w:tr>
        <w:trPr>
          <w:cantSplit/>
        </w:trPr>
        <w:tc>
          <w:tcPr>
            <w:tcW w:type="dxa" w:w="3572"/>
            <w:tcMar>
              <w:top w:w="70" w:type="dxa"/>
              <w:start w:w="90" w:type="dxa"/>
              <w:bottom w:w="70" w:type="dxa"/>
              <w:end w:w="90" w:type="dxa"/>
            </w:tcMar>
            <w:shd w:fill="FFFFFF"/>
          </w:tcPr>
          <w:p>
            <w:pPr>
              <w:spacing w:before="0" w:after="0" w:line="228" w:lineRule="auto"/>
            </w:pPr>
            <w:r>
              <w:rPr>
                <w:rFonts w:ascii="Arial" w:hAnsi="Arial"/>
                <w:b/>
                <w:color w:val="18231F"/>
                <w:sz w:val="14"/>
              </w:rPr>
              <w:t>CAD competency check</w:t>
              <w:br/>
              <w:t>Teacher-curated resource folder</w:t>
            </w:r>
          </w:p>
        </w:tc>
        <w:tc>
          <w:tcPr>
            <w:tcW w:type="dxa" w:w="4989"/>
            <w:tcMar>
              <w:top w:w="70" w:type="dxa"/>
              <w:start w:w="90" w:type="dxa"/>
              <w:bottom w:w="70" w:type="dxa"/>
              <w:end w:w="90" w:type="dxa"/>
            </w:tcMar>
            <w:shd w:fill="FFFFFF"/>
          </w:tcPr>
          <w:p>
            <w:pPr>
              <w:spacing w:before="0" w:after="0" w:line="228" w:lineRule="auto"/>
            </w:pPr>
            <w:r>
              <w:rPr>
                <w:rFonts w:ascii="Arial" w:hAnsi="Arial"/>
                <w:b w:val="0"/>
                <w:color w:val="18231F"/>
                <w:sz w:val="14"/>
              </w:rPr>
              <w:t>CAD readiness and evidence</w:t>
            </w:r>
          </w:p>
        </w:tc>
        <w:tc>
          <w:tcPr>
            <w:tcW w:type="dxa" w:w="4932"/>
            <w:tcMar>
              <w:top w:w="70" w:type="dxa"/>
              <w:start w:w="90" w:type="dxa"/>
              <w:bottom w:w="70" w:type="dxa"/>
              <w:end w:w="90" w:type="dxa"/>
            </w:tcMar>
            <w:shd w:fill="FFFFFF"/>
          </w:tcPr>
          <w:p>
            <w:pPr>
              <w:spacing w:before="0" w:after="0" w:line="228" w:lineRule="auto"/>
            </w:pPr>
            <w:r>
              <w:rPr>
                <w:rFonts w:ascii="Arial" w:hAnsi="Arial"/>
                <w:b w:val="0"/>
                <w:color w:val="18231F"/>
                <w:sz w:val="14"/>
              </w:rPr>
              <w:t>Drive permissions apply</w:t>
            </w:r>
          </w:p>
        </w:tc>
        <w:tc>
          <w:tcPr>
            <w:tcW w:type="dxa" w:w="1701"/>
            <w:tcMar>
              <w:top w:w="70" w:type="dxa"/>
              <w:start w:w="90" w:type="dxa"/>
              <w:bottom w:w="70" w:type="dxa"/>
              <w:end w:w="90" w:type="dxa"/>
            </w:tcMar>
            <w:shd w:fill="FFFFFF"/>
          </w:tcPr>
          <w:p>
            <w:hyperlink r:id="rId18">
              <w:r>
                <w:rPr>
                  <w:color w:val="173A32"/>
                  <w:u w:val="single"/>
                </w:rPr>
                <w:t>Open source</w:t>
              </w:r>
            </w:hyperlink>
          </w:p>
        </w:tc>
      </w:tr>
      <w:tr>
        <w:trPr>
          <w:cantSplit/>
        </w:trPr>
        <w:tc>
          <w:tcPr>
            <w:tcW w:type="dxa" w:w="3572"/>
            <w:tcMar>
              <w:top w:w="70" w:type="dxa"/>
              <w:start w:w="90" w:type="dxa"/>
              <w:bottom w:w="70" w:type="dxa"/>
              <w:end w:w="90" w:type="dxa"/>
            </w:tcMar>
            <w:shd w:fill="EDF3EF"/>
          </w:tcPr>
          <w:p>
            <w:pPr>
              <w:spacing w:before="0" w:after="0" w:line="228" w:lineRule="auto"/>
            </w:pPr>
            <w:r>
              <w:rPr>
                <w:rFonts w:ascii="Arial" w:hAnsi="Arial"/>
                <w:b/>
                <w:color w:val="18231F"/>
                <w:sz w:val="14"/>
              </w:rPr>
              <w:t>Isometric and Oblique Technical Drawing guide</w:t>
              <w:br/>
              <w:t>Teacher-curated Drive resource</w:t>
            </w:r>
          </w:p>
        </w:tc>
        <w:tc>
          <w:tcPr>
            <w:tcW w:type="dxa" w:w="4989"/>
            <w:tcMar>
              <w:top w:w="70" w:type="dxa"/>
              <w:start w:w="90" w:type="dxa"/>
              <w:bottom w:w="70" w:type="dxa"/>
              <w:end w:w="90" w:type="dxa"/>
            </w:tcMar>
            <w:shd w:fill="EDF3EF"/>
          </w:tcPr>
          <w:p>
            <w:pPr>
              <w:spacing w:before="0" w:after="0" w:line="228" w:lineRule="auto"/>
            </w:pPr>
            <w:r>
              <w:rPr>
                <w:rFonts w:ascii="Arial" w:hAnsi="Arial"/>
                <w:b w:val="0"/>
                <w:color w:val="18231F"/>
                <w:sz w:val="14"/>
              </w:rPr>
              <w:t>Technical drawing support; not reproduced by this site</w:t>
            </w:r>
          </w:p>
        </w:tc>
        <w:tc>
          <w:tcPr>
            <w:tcW w:type="dxa" w:w="4932"/>
            <w:tcMar>
              <w:top w:w="70" w:type="dxa"/>
              <w:start w:w="90" w:type="dxa"/>
              <w:bottom w:w="70" w:type="dxa"/>
              <w:end w:w="90" w:type="dxa"/>
            </w:tcMar>
            <w:shd w:fill="EDF3EF"/>
          </w:tcPr>
          <w:p>
            <w:pPr>
              <w:spacing w:before="0" w:after="0" w:line="228" w:lineRule="auto"/>
            </w:pPr>
            <w:r>
              <w:rPr>
                <w:rFonts w:ascii="Arial" w:hAnsi="Arial"/>
                <w:b w:val="0"/>
                <w:color w:val="18231F"/>
                <w:sz w:val="14"/>
              </w:rPr>
              <w:t>Use within school permissions</w:t>
            </w:r>
          </w:p>
        </w:tc>
        <w:tc>
          <w:tcPr>
            <w:tcW w:type="dxa" w:w="1701"/>
            <w:tcMar>
              <w:top w:w="70" w:type="dxa"/>
              <w:start w:w="90" w:type="dxa"/>
              <w:bottom w:w="70" w:type="dxa"/>
              <w:end w:w="90" w:type="dxa"/>
            </w:tcMar>
            <w:shd w:fill="EDF3EF"/>
          </w:tcPr>
          <w:p>
            <w:hyperlink r:id="rId19">
              <w:r>
                <w:rPr>
                  <w:color w:val="173A32"/>
                  <w:u w:val="single"/>
                </w:rPr>
                <w:t>Open source</w:t>
              </w:r>
            </w:hyperlink>
          </w:p>
        </w:tc>
      </w:tr>
      <w:tr>
        <w:trPr>
          <w:cantSplit/>
        </w:trPr>
        <w:tc>
          <w:tcPr>
            <w:tcW w:type="dxa" w:w="3572"/>
            <w:tcMar>
              <w:top w:w="70" w:type="dxa"/>
              <w:start w:w="90" w:type="dxa"/>
              <w:bottom w:w="70" w:type="dxa"/>
              <w:end w:w="90" w:type="dxa"/>
            </w:tcMar>
            <w:shd w:fill="FFFFFF"/>
          </w:tcPr>
          <w:p>
            <w:pPr>
              <w:spacing w:before="0" w:after="0" w:line="228" w:lineRule="auto"/>
            </w:pPr>
            <w:r>
              <w:rPr>
                <w:rFonts w:ascii="Arial" w:hAnsi="Arial"/>
                <w:b/>
                <w:color w:val="18231F"/>
                <w:sz w:val="14"/>
              </w:rPr>
              <w:t>Isometric Drawing Guide video</w:t>
              <w:br/>
              <w:t>Teacher-curated Drive resource</w:t>
            </w:r>
          </w:p>
        </w:tc>
        <w:tc>
          <w:tcPr>
            <w:tcW w:type="dxa" w:w="4989"/>
            <w:tcMar>
              <w:top w:w="70" w:type="dxa"/>
              <w:start w:w="90" w:type="dxa"/>
              <w:bottom w:w="70" w:type="dxa"/>
              <w:end w:w="90" w:type="dxa"/>
            </w:tcMar>
            <w:shd w:fill="FFFFFF"/>
          </w:tcPr>
          <w:p>
            <w:pPr>
              <w:spacing w:before="0" w:after="0" w:line="228" w:lineRule="auto"/>
            </w:pPr>
            <w:r>
              <w:rPr>
                <w:rFonts w:ascii="Arial" w:hAnsi="Arial"/>
                <w:b w:val="0"/>
                <w:color w:val="18231F"/>
                <w:sz w:val="14"/>
              </w:rPr>
              <w:t>Technical drawing demonstration; not reproduced by this site</w:t>
            </w:r>
          </w:p>
        </w:tc>
        <w:tc>
          <w:tcPr>
            <w:tcW w:type="dxa" w:w="4932"/>
            <w:tcMar>
              <w:top w:w="70" w:type="dxa"/>
              <w:start w:w="90" w:type="dxa"/>
              <w:bottom w:w="70" w:type="dxa"/>
              <w:end w:w="90" w:type="dxa"/>
            </w:tcMar>
            <w:shd w:fill="FFFFFF"/>
          </w:tcPr>
          <w:p>
            <w:pPr>
              <w:spacing w:before="0" w:after="0" w:line="228" w:lineRule="auto"/>
            </w:pPr>
            <w:r>
              <w:rPr>
                <w:rFonts w:ascii="Arial" w:hAnsi="Arial"/>
                <w:b w:val="0"/>
                <w:color w:val="18231F"/>
                <w:sz w:val="14"/>
              </w:rPr>
              <w:t>Use within school permissions</w:t>
            </w:r>
          </w:p>
        </w:tc>
        <w:tc>
          <w:tcPr>
            <w:tcW w:type="dxa" w:w="1701"/>
            <w:tcMar>
              <w:top w:w="70" w:type="dxa"/>
              <w:start w:w="90" w:type="dxa"/>
              <w:bottom w:w="70" w:type="dxa"/>
              <w:end w:w="90" w:type="dxa"/>
            </w:tcMar>
            <w:shd w:fill="FFFFFF"/>
          </w:tcPr>
          <w:p>
            <w:hyperlink r:id="rId20">
              <w:r>
                <w:rPr>
                  <w:color w:val="173A32"/>
                  <w:u w:val="single"/>
                </w:rPr>
                <w:t>Open source</w:t>
              </w:r>
            </w:hyperlink>
          </w:p>
        </w:tc>
      </w:tr>
      <w:tr>
        <w:trPr>
          <w:cantSplit/>
        </w:trPr>
        <w:tc>
          <w:tcPr>
            <w:tcW w:type="dxa" w:w="3572"/>
            <w:tcMar>
              <w:top w:w="70" w:type="dxa"/>
              <w:start w:w="90" w:type="dxa"/>
              <w:bottom w:w="70" w:type="dxa"/>
              <w:end w:w="90" w:type="dxa"/>
            </w:tcMar>
            <w:shd w:fill="EDF3EF"/>
          </w:tcPr>
          <w:p>
            <w:pPr>
              <w:spacing w:before="0" w:after="0" w:line="228" w:lineRule="auto"/>
            </w:pPr>
            <w:r>
              <w:rPr>
                <w:rFonts w:ascii="Arial" w:hAnsi="Arial"/>
                <w:b/>
                <w:color w:val="18231F"/>
                <w:sz w:val="14"/>
              </w:rPr>
              <w:t>OnGuard safety resources</w:t>
              <w:br/>
              <w:t>School safety resource folder</w:t>
            </w:r>
          </w:p>
        </w:tc>
        <w:tc>
          <w:tcPr>
            <w:tcW w:type="dxa" w:w="4989"/>
            <w:tcMar>
              <w:top w:w="70" w:type="dxa"/>
              <w:start w:w="90" w:type="dxa"/>
              <w:bottom w:w="70" w:type="dxa"/>
              <w:end w:w="90" w:type="dxa"/>
            </w:tcMar>
            <w:shd w:fill="EDF3EF"/>
          </w:tcPr>
          <w:p>
            <w:pPr>
              <w:spacing w:before="0" w:after="0" w:line="228" w:lineRule="auto"/>
            </w:pPr>
            <w:r>
              <w:rPr>
                <w:rFonts w:ascii="Arial" w:hAnsi="Arial"/>
                <w:b w:val="0"/>
                <w:color w:val="18231F"/>
                <w:sz w:val="14"/>
              </w:rPr>
              <w:t>Links only; site does not replace induction, SOPs or supervision</w:t>
            </w:r>
          </w:p>
        </w:tc>
        <w:tc>
          <w:tcPr>
            <w:tcW w:type="dxa" w:w="4932"/>
            <w:tcMar>
              <w:top w:w="70" w:type="dxa"/>
              <w:start w:w="90" w:type="dxa"/>
              <w:bottom w:w="70" w:type="dxa"/>
              <w:end w:w="90" w:type="dxa"/>
            </w:tcMar>
            <w:shd w:fill="EDF3EF"/>
          </w:tcPr>
          <w:p>
            <w:pPr>
              <w:spacing w:before="0" w:after="0" w:line="228" w:lineRule="auto"/>
            </w:pPr>
            <w:r>
              <w:rPr>
                <w:rFonts w:ascii="Arial" w:hAnsi="Arial"/>
                <w:b w:val="0"/>
                <w:color w:val="18231F"/>
                <w:sz w:val="14"/>
              </w:rPr>
              <w:t>Current local procedures and teacher approval remain authority</w:t>
            </w:r>
          </w:p>
        </w:tc>
        <w:tc>
          <w:tcPr>
            <w:tcW w:type="dxa" w:w="1701"/>
            <w:tcMar>
              <w:top w:w="70" w:type="dxa"/>
              <w:start w:w="90" w:type="dxa"/>
              <w:bottom w:w="70" w:type="dxa"/>
              <w:end w:w="90" w:type="dxa"/>
            </w:tcMar>
            <w:shd w:fill="EDF3EF"/>
          </w:tcPr>
          <w:p>
            <w:hyperlink r:id="rId21">
              <w:r>
                <w:rPr>
                  <w:color w:val="173A32"/>
                  <w:u w:val="single"/>
                </w:rPr>
                <w:t>Open source</w:t>
              </w:r>
            </w:hyperlink>
          </w:p>
        </w:tc>
      </w:tr>
      <w:tr>
        <w:trPr>
          <w:cantSplit/>
        </w:trPr>
        <w:tc>
          <w:tcPr>
            <w:tcW w:type="dxa" w:w="3572"/>
            <w:tcMar>
              <w:top w:w="70" w:type="dxa"/>
              <w:start w:w="90" w:type="dxa"/>
              <w:bottom w:w="70" w:type="dxa"/>
              <w:end w:w="90" w:type="dxa"/>
            </w:tcMar>
            <w:shd w:fill="FFFFFF"/>
          </w:tcPr>
          <w:p>
            <w:pPr>
              <w:spacing w:before="0" w:after="0" w:line="228" w:lineRule="auto"/>
            </w:pPr>
            <w:r>
              <w:rPr>
                <w:rFonts w:ascii="Arial" w:hAnsi="Arial"/>
                <w:b/>
                <w:color w:val="18231F"/>
                <w:sz w:val="14"/>
              </w:rPr>
              <w:t>Market Research 2024 presentation</w:t>
              <w:br/>
              <w:t>Teacher-curated learning resource</w:t>
            </w:r>
          </w:p>
        </w:tc>
        <w:tc>
          <w:tcPr>
            <w:tcW w:type="dxa" w:w="4989"/>
            <w:tcMar>
              <w:top w:w="70" w:type="dxa"/>
              <w:start w:w="90" w:type="dxa"/>
              <w:bottom w:w="70" w:type="dxa"/>
              <w:end w:w="90" w:type="dxa"/>
            </w:tcMar>
            <w:shd w:fill="FFFFFF"/>
          </w:tcPr>
          <w:p>
            <w:pPr>
              <w:spacing w:before="0" w:after="0" w:line="228" w:lineRule="auto"/>
            </w:pPr>
            <w:r>
              <w:rPr>
                <w:rFonts w:ascii="Arial" w:hAnsi="Arial"/>
                <w:b w:val="0"/>
                <w:color w:val="18231F"/>
                <w:sz w:val="14"/>
              </w:rPr>
              <w:t>Primary/secondary and market research support</w:t>
            </w:r>
          </w:p>
        </w:tc>
        <w:tc>
          <w:tcPr>
            <w:tcW w:type="dxa" w:w="4932"/>
            <w:tcMar>
              <w:top w:w="70" w:type="dxa"/>
              <w:start w:w="90" w:type="dxa"/>
              <w:bottom w:w="70" w:type="dxa"/>
              <w:end w:w="90" w:type="dxa"/>
            </w:tcMar>
            <w:shd w:fill="FFFFFF"/>
          </w:tcPr>
          <w:p>
            <w:pPr>
              <w:spacing w:before="0" w:after="0" w:line="228" w:lineRule="auto"/>
            </w:pPr>
            <w:r>
              <w:rPr>
                <w:rFonts w:ascii="Arial" w:hAnsi="Arial"/>
                <w:b w:val="0"/>
                <w:color w:val="18231F"/>
                <w:sz w:val="14"/>
              </w:rPr>
              <w:t>Drive permissions apply</w:t>
            </w:r>
          </w:p>
        </w:tc>
        <w:tc>
          <w:tcPr>
            <w:tcW w:type="dxa" w:w="1701"/>
            <w:tcMar>
              <w:top w:w="70" w:type="dxa"/>
              <w:start w:w="90" w:type="dxa"/>
              <w:bottom w:w="70" w:type="dxa"/>
              <w:end w:w="90" w:type="dxa"/>
            </w:tcMar>
            <w:shd w:fill="FFFFFF"/>
          </w:tcPr>
          <w:p>
            <w:hyperlink r:id="rId22">
              <w:r>
                <w:rPr>
                  <w:color w:val="173A32"/>
                  <w:u w:val="single"/>
                </w:rPr>
                <w:t>Open source</w:t>
              </w:r>
            </w:hyperlink>
          </w:p>
        </w:tc>
      </w:tr>
      <w:tr>
        <w:trPr>
          <w:cantSplit/>
        </w:trPr>
        <w:tc>
          <w:tcPr>
            <w:tcW w:type="dxa" w:w="3572"/>
            <w:tcMar>
              <w:top w:w="70" w:type="dxa"/>
              <w:start w:w="90" w:type="dxa"/>
              <w:bottom w:w="70" w:type="dxa"/>
              <w:end w:w="90" w:type="dxa"/>
            </w:tcMar>
            <w:shd w:fill="EDF3EF"/>
          </w:tcPr>
          <w:p>
            <w:pPr>
              <w:spacing w:before="0" w:after="0" w:line="228" w:lineRule="auto"/>
            </w:pPr>
            <w:r>
              <w:rPr>
                <w:rFonts w:ascii="Arial" w:hAnsi="Arial"/>
                <w:b/>
                <w:color w:val="18231F"/>
                <w:sz w:val="14"/>
              </w:rPr>
              <w:t>Factors Affecting Design 2024 presentation</w:t>
              <w:br/>
              <w:t>Teacher-curated learning resource</w:t>
            </w:r>
          </w:p>
        </w:tc>
        <w:tc>
          <w:tcPr>
            <w:tcW w:type="dxa" w:w="4989"/>
            <w:tcMar>
              <w:top w:w="70" w:type="dxa"/>
              <w:start w:w="90" w:type="dxa"/>
              <w:bottom w:w="70" w:type="dxa"/>
              <w:end w:w="90" w:type="dxa"/>
            </w:tcMar>
            <w:shd w:fill="EDF3EF"/>
          </w:tcPr>
          <w:p>
            <w:pPr>
              <w:spacing w:before="0" w:after="0" w:line="228" w:lineRule="auto"/>
            </w:pPr>
            <w:r>
              <w:rPr>
                <w:rFonts w:ascii="Arial" w:hAnsi="Arial"/>
                <w:b w:val="0"/>
                <w:color w:val="18231F"/>
                <w:sz w:val="14"/>
              </w:rPr>
              <w:t>Design factors and trade-off support</w:t>
            </w:r>
          </w:p>
        </w:tc>
        <w:tc>
          <w:tcPr>
            <w:tcW w:type="dxa" w:w="4932"/>
            <w:tcMar>
              <w:top w:w="70" w:type="dxa"/>
              <w:start w:w="90" w:type="dxa"/>
              <w:bottom w:w="70" w:type="dxa"/>
              <w:end w:w="90" w:type="dxa"/>
            </w:tcMar>
            <w:shd w:fill="EDF3EF"/>
          </w:tcPr>
          <w:p>
            <w:pPr>
              <w:spacing w:before="0" w:after="0" w:line="228" w:lineRule="auto"/>
            </w:pPr>
            <w:r>
              <w:rPr>
                <w:rFonts w:ascii="Arial" w:hAnsi="Arial"/>
                <w:b w:val="0"/>
                <w:color w:val="18231F"/>
                <w:sz w:val="14"/>
              </w:rPr>
              <w:t>Drive permissions apply</w:t>
            </w:r>
          </w:p>
        </w:tc>
        <w:tc>
          <w:tcPr>
            <w:tcW w:type="dxa" w:w="1701"/>
            <w:tcMar>
              <w:top w:w="70" w:type="dxa"/>
              <w:start w:w="90" w:type="dxa"/>
              <w:bottom w:w="70" w:type="dxa"/>
              <w:end w:w="90" w:type="dxa"/>
            </w:tcMar>
            <w:shd w:fill="EDF3EF"/>
          </w:tcPr>
          <w:p>
            <w:hyperlink r:id="rId23">
              <w:r>
                <w:rPr>
                  <w:color w:val="173A32"/>
                  <w:u w:val="single"/>
                </w:rPr>
                <w:t>Open source</w:t>
              </w:r>
            </w:hyperlink>
          </w:p>
        </w:tc>
      </w:tr>
      <w:tr>
        <w:trPr>
          <w:cantSplit/>
        </w:trPr>
        <w:tc>
          <w:tcPr>
            <w:tcW w:type="dxa" w:w="3572"/>
            <w:tcMar>
              <w:top w:w="70" w:type="dxa"/>
              <w:start w:w="90" w:type="dxa"/>
              <w:bottom w:w="70" w:type="dxa"/>
              <w:end w:w="90" w:type="dxa"/>
            </w:tcMar>
            <w:shd w:fill="FFFFFF"/>
          </w:tcPr>
          <w:p>
            <w:pPr>
              <w:spacing w:before="0" w:after="0" w:line="228" w:lineRule="auto"/>
            </w:pPr>
            <w:r>
              <w:rPr>
                <w:rFonts w:ascii="Arial" w:hAnsi="Arial"/>
                <w:b/>
                <w:color w:val="18231F"/>
                <w:sz w:val="14"/>
              </w:rPr>
              <w:t>Finance Plan worksheet</w:t>
              <w:br/>
              <w:t>Teacher-curated learning resource</w:t>
            </w:r>
          </w:p>
        </w:tc>
        <w:tc>
          <w:tcPr>
            <w:tcW w:type="dxa" w:w="4989"/>
            <w:tcMar>
              <w:top w:w="70" w:type="dxa"/>
              <w:start w:w="90" w:type="dxa"/>
              <w:bottom w:w="70" w:type="dxa"/>
              <w:end w:w="90" w:type="dxa"/>
            </w:tcMar>
            <w:shd w:fill="FFFFFF"/>
          </w:tcPr>
          <w:p>
            <w:pPr>
              <w:spacing w:before="0" w:after="0" w:line="228" w:lineRule="auto"/>
            </w:pPr>
            <w:r>
              <w:rPr>
                <w:rFonts w:ascii="Arial" w:hAnsi="Arial"/>
                <w:b w:val="0"/>
                <w:color w:val="18231F"/>
                <w:sz w:val="14"/>
              </w:rPr>
              <w:t>Project cost and resource planning</w:t>
            </w:r>
          </w:p>
        </w:tc>
        <w:tc>
          <w:tcPr>
            <w:tcW w:type="dxa" w:w="4932"/>
            <w:tcMar>
              <w:top w:w="70" w:type="dxa"/>
              <w:start w:w="90" w:type="dxa"/>
              <w:bottom w:w="70" w:type="dxa"/>
              <w:end w:w="90" w:type="dxa"/>
            </w:tcMar>
            <w:shd w:fill="FFFFFF"/>
          </w:tcPr>
          <w:p>
            <w:pPr>
              <w:spacing w:before="0" w:after="0" w:line="228" w:lineRule="auto"/>
            </w:pPr>
            <w:r>
              <w:rPr>
                <w:rFonts w:ascii="Arial" w:hAnsi="Arial"/>
                <w:b w:val="0"/>
                <w:color w:val="18231F"/>
                <w:sz w:val="14"/>
              </w:rPr>
              <w:t>Drive permissions apply</w:t>
            </w:r>
          </w:p>
        </w:tc>
        <w:tc>
          <w:tcPr>
            <w:tcW w:type="dxa" w:w="1701"/>
            <w:tcMar>
              <w:top w:w="70" w:type="dxa"/>
              <w:start w:w="90" w:type="dxa"/>
              <w:bottom w:w="70" w:type="dxa"/>
              <w:end w:w="90" w:type="dxa"/>
            </w:tcMar>
            <w:shd w:fill="FFFFFF"/>
          </w:tcPr>
          <w:p>
            <w:hyperlink r:id="rId24">
              <w:r>
                <w:rPr>
                  <w:color w:val="173A32"/>
                  <w:u w:val="single"/>
                </w:rPr>
                <w:t>Open source</w:t>
              </w:r>
            </w:hyperlink>
          </w:p>
        </w:tc>
      </w:tr>
      <w:tr>
        <w:trPr>
          <w:cantSplit/>
        </w:trPr>
        <w:tc>
          <w:tcPr>
            <w:tcW w:type="dxa" w:w="3572"/>
            <w:tcMar>
              <w:top w:w="70" w:type="dxa"/>
              <w:start w:w="90" w:type="dxa"/>
              <w:bottom w:w="70" w:type="dxa"/>
              <w:end w:w="90" w:type="dxa"/>
            </w:tcMar>
            <w:shd w:fill="EDF3EF"/>
          </w:tcPr>
          <w:p>
            <w:pPr>
              <w:spacing w:before="0" w:after="0" w:line="228" w:lineRule="auto"/>
            </w:pPr>
            <w:r>
              <w:rPr>
                <w:rFonts w:ascii="Arial" w:hAnsi="Arial"/>
                <w:b/>
                <w:color w:val="18231F"/>
                <w:sz w:val="14"/>
              </w:rPr>
              <w:t>The 4 Ps resources</w:t>
              <w:br/>
              <w:t>Teacher-curated learning resource folder</w:t>
            </w:r>
          </w:p>
        </w:tc>
        <w:tc>
          <w:tcPr>
            <w:tcW w:type="dxa" w:w="4989"/>
            <w:tcMar>
              <w:top w:w="70" w:type="dxa"/>
              <w:start w:w="90" w:type="dxa"/>
              <w:bottom w:w="70" w:type="dxa"/>
              <w:end w:w="90" w:type="dxa"/>
            </w:tcMar>
            <w:shd w:fill="EDF3EF"/>
          </w:tcPr>
          <w:p>
            <w:pPr>
              <w:spacing w:before="0" w:after="0" w:line="228" w:lineRule="auto"/>
            </w:pPr>
            <w:r>
              <w:rPr>
                <w:rFonts w:ascii="Arial" w:hAnsi="Arial"/>
                <w:b w:val="0"/>
                <w:color w:val="18231F"/>
                <w:sz w:val="14"/>
              </w:rPr>
              <w:t>Product, price, place and promotion</w:t>
            </w:r>
          </w:p>
        </w:tc>
        <w:tc>
          <w:tcPr>
            <w:tcW w:type="dxa" w:w="4932"/>
            <w:tcMar>
              <w:top w:w="70" w:type="dxa"/>
              <w:start w:w="90" w:type="dxa"/>
              <w:bottom w:w="70" w:type="dxa"/>
              <w:end w:w="90" w:type="dxa"/>
            </w:tcMar>
            <w:shd w:fill="EDF3EF"/>
          </w:tcPr>
          <w:p>
            <w:pPr>
              <w:spacing w:before="0" w:after="0" w:line="228" w:lineRule="auto"/>
            </w:pPr>
            <w:r>
              <w:rPr>
                <w:rFonts w:ascii="Arial" w:hAnsi="Arial"/>
                <w:b w:val="0"/>
                <w:color w:val="18231F"/>
                <w:sz w:val="14"/>
              </w:rPr>
              <w:t>Drive permissions apply</w:t>
            </w:r>
          </w:p>
        </w:tc>
        <w:tc>
          <w:tcPr>
            <w:tcW w:type="dxa" w:w="1701"/>
            <w:tcMar>
              <w:top w:w="70" w:type="dxa"/>
              <w:start w:w="90" w:type="dxa"/>
              <w:bottom w:w="70" w:type="dxa"/>
              <w:end w:w="90" w:type="dxa"/>
            </w:tcMar>
            <w:shd w:fill="EDF3EF"/>
          </w:tcPr>
          <w:p>
            <w:hyperlink r:id="rId25">
              <w:r>
                <w:rPr>
                  <w:color w:val="173A32"/>
                  <w:u w:val="single"/>
                </w:rPr>
                <w:t>Open source</w:t>
              </w:r>
            </w:hyperlink>
          </w:p>
        </w:tc>
      </w:tr>
    </w:tbl>
    <w:p>
      <w:r>
        <w:br w:type="page"/>
      </w:r>
    </w:p>
    <w:p>
      <w:pPr>
        <w:pStyle w:val="Heading1"/>
      </w:pPr>
      <w:r>
        <w:t>Deliberate exclusions</w:t>
      </w:r>
    </w:p>
    <w:p>
      <w:pPr>
        <w:spacing w:before="0" w:after="40" w:line="240" w:lineRule="auto"/>
        <w:ind w:left="227" w:hanging="170"/>
      </w:pPr>
      <w:r>
        <w:rPr>
          <w:rFonts w:ascii="Arial" w:hAnsi="Arial"/>
          <w:b w:val="0"/>
          <w:color w:val="18231F"/>
          <w:sz w:val="16"/>
        </w:rPr>
        <w:t>• Student folios, student names and assessed student products were not used as site or program content.</w:t>
      </w:r>
    </w:p>
    <w:p>
      <w:pPr>
        <w:spacing w:before="0" w:after="40" w:line="240" w:lineRule="auto"/>
        <w:ind w:left="227" w:hanging="170"/>
      </w:pPr>
      <w:r>
        <w:rPr>
          <w:rFonts w:ascii="Arial" w:hAnsi="Arial"/>
          <w:b w:val="0"/>
          <w:color w:val="18231F"/>
          <w:sz w:val="16"/>
        </w:rPr>
        <w:t>• The supplied Stage 6 textbook was not reproduced.</w:t>
      </w:r>
    </w:p>
    <w:p>
      <w:pPr>
        <w:spacing w:before="0" w:after="40" w:line="240" w:lineRule="auto"/>
        <w:ind w:left="227" w:hanging="170"/>
      </w:pPr>
      <w:r>
        <w:rPr>
          <w:rFonts w:ascii="Arial" w:hAnsi="Arial"/>
          <w:b w:val="0"/>
          <w:color w:val="18231F"/>
          <w:sz w:val="16"/>
        </w:rPr>
        <w:t>• The Year 11 assessment schedule PDF was not interpreted; readable task notices are the only formal task weightings represented.</w:t>
      </w:r>
    </w:p>
    <w:p>
      <w:pPr>
        <w:spacing w:before="0" w:after="40" w:line="240" w:lineRule="auto"/>
        <w:ind w:left="227" w:hanging="170"/>
      </w:pPr>
      <w:r>
        <w:rPr>
          <w:rFonts w:ascii="Arial" w:hAnsi="Arial"/>
          <w:b w:val="0"/>
          <w:color w:val="18231F"/>
          <w:sz w:val="16"/>
        </w:rPr>
        <w:t>• The program does not replace OnGuard, local SOPs, induction, supervision, equipment approval or current risk controls.</w:t>
      </w:r>
    </w:p>
    <w:p>
      <w:pPr>
        <w:spacing w:before="0" w:after="40" w:line="240" w:lineRule="auto"/>
        <w:ind w:left="227" w:hanging="170"/>
      </w:pPr>
      <w:r>
        <w:rPr>
          <w:rFonts w:ascii="Arial" w:hAnsi="Arial"/>
          <w:b w:val="0"/>
          <w:color w:val="18231F"/>
          <w:sz w:val="16"/>
        </w:rPr>
        <w:t>• Year 12 detail remains provisional until the authorised HSC site and program are built.</w:t>
      </w:r>
    </w:p>
    <w:sectPr w:rsidR="00FC693F" w:rsidRPr="0006063C" w:rsidSect="00034616">
      <w:headerReference w:type="default" r:id="rId9"/>
      <w:footerReference w:type="default" r:id="rId10"/>
      <w:pgSz w:w="15840" w:h="12240" w:orient="landscape"/>
      <w:pgMar w:top="709" w:right="709" w:bottom="652" w:left="709" w:header="312" w:footer="31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Arial" w:hAnsi="Arial"/>
        <w:b w:val="0"/>
        <w:color w:val="5C6963"/>
        <w:sz w:val="14"/>
      </w:rPr>
      <w:t xml:space="preserve">Y11-DT-2026-08-31-v1  |  Teacher-controlled program  |  </w:t>
    </w: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pPr>
    <w:r>
      <w:rPr>
        <w:rFonts w:ascii="Arial" w:hAnsi="Arial"/>
        <w:b/>
        <w:color w:val="173A32"/>
        <w:sz w:val="15"/>
      </w:rPr>
      <w:t>INDUSTRIAL ARTS LEARNING HUB  |  YEAR 11 PRELIMINARY PROGRAM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pPr>
    <w:rPr>
      <w:rFonts w:ascii="Arial" w:hAnsi="Arial"/>
      <w:color w:val="1823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rial" w:hAnsi="Arial"/>
      <w:b/>
      <w:bCs/>
      <w:color w:val="173A32"/>
      <w:sz w:val="40"/>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b/>
      <w:bCs/>
      <w:color w:val="B65F49"/>
      <w:sz w:val="28"/>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rial" w:hAnsi="Arial"/>
      <w:b/>
      <w:bCs/>
      <w:color w:val="173A3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Arial" w:hAnsi="Arial"/>
      <w:b/>
      <w:color w:val="10251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nsw.gov.au/education-and-training/nesa/curriculum/tas/design-and-technology-stage-6-2013" TargetMode="External"/><Relationship Id="rId12" Type="http://schemas.openxmlformats.org/officeDocument/2006/relationships/hyperlink" Target="https://drive.google.com/drive/folders/1asb_yqzoPc53dcD5arF_KO8e1Wdt8mTnwK7fLFwz5ChKrNspXXW2fqPMteTuqpMikrB7b10g" TargetMode="External"/><Relationship Id="rId13" Type="http://schemas.openxmlformats.org/officeDocument/2006/relationships/hyperlink" Target="https://docs.google.com/document/d/1iv4mUsCjRf8f4PqrX1Jx_G5FpMSQzGEZJ9WXxwFzh3c/edit" TargetMode="External"/><Relationship Id="rId14" Type="http://schemas.openxmlformats.org/officeDocument/2006/relationships/hyperlink" Target="https://docs.google.com/document/d/16o5NZ2otTdPi7oR0wP0NaLS9J4-BPv3QCHESN3i7U54/edit" TargetMode="External"/><Relationship Id="rId15" Type="http://schemas.openxmlformats.org/officeDocument/2006/relationships/hyperlink" Target="https://docs.google.com/document/d/1PmfztxpRqeSnRCSbtZZjRHue-VhoqIv5IX1klGrejGc/edit" TargetMode="External"/><Relationship Id="rId16" Type="http://schemas.openxmlformats.org/officeDocument/2006/relationships/hyperlink" Target="https://docs.google.com/document/d/1sLKfRydngtRenpEIt48-aD6YFjtU_Ogl/edit" TargetMode="External"/><Relationship Id="rId17" Type="http://schemas.openxmlformats.org/officeDocument/2006/relationships/hyperlink" Target="https://drive.google.com/drive/folders/13Me-mdZOkpFvuf9UIcvUbM0IiGJXTlH4I59OlxAFvYVkRkFPEwdEQ_V0ykg7KSLG8H3JYt-a" TargetMode="External"/><Relationship Id="rId18" Type="http://schemas.openxmlformats.org/officeDocument/2006/relationships/hyperlink" Target="https://drive.google.com/drive/folders/1yl2uThtINk47X7fQkdTlsyegK6Wap-Q0WPQhBwYh87CEI-b4yl1mPaHu-wrlGqnHgsvSN8n7" TargetMode="External"/><Relationship Id="rId19" Type="http://schemas.openxmlformats.org/officeDocument/2006/relationships/hyperlink" Target="https://drive.google.com/file/d/1gUaUDc1TxJnf2XYK88422XuKbMQ5bHON/view" TargetMode="External"/><Relationship Id="rId20" Type="http://schemas.openxmlformats.org/officeDocument/2006/relationships/hyperlink" Target="https://drive.google.com/file/d/1Oujqs6v9JLLFnuQgQuZ7Yr-OsWEhD7Db/view" TargetMode="External"/><Relationship Id="rId21" Type="http://schemas.openxmlformats.org/officeDocument/2006/relationships/hyperlink" Target="https://drive.google.com/drive/folders/1dA17tF-qaOJducRiiauLkMVJu7KbH_YhdGwfoVPlOegO2gBhkKBOIFT-DTpRJDCZdH0GJ9g7" TargetMode="External"/><Relationship Id="rId22" Type="http://schemas.openxmlformats.org/officeDocument/2006/relationships/hyperlink" Target="https://docs.google.com/presentation/d/1fZgeHNGQlQN-1P6HZhGxo2nxFb5WoVKUq_MON9kTV0c/edit" TargetMode="External"/><Relationship Id="rId23" Type="http://schemas.openxmlformats.org/officeDocument/2006/relationships/hyperlink" Target="https://docs.google.com/presentation/d/1mfJhPF2O6lGCN640zPC397gpm-liSKKYnauUSPxj10g/edit" TargetMode="External"/><Relationship Id="rId24" Type="http://schemas.openxmlformats.org/officeDocument/2006/relationships/hyperlink" Target="https://docs.google.com/document/d/1mmNImoMFrIV4IO0TvV5DPQuCndztEcsE/edit" TargetMode="External"/><Relationship Id="rId25" Type="http://schemas.openxmlformats.org/officeDocument/2006/relationships/hyperlink" Target="https://drive.google.com/drive/folders/1a5wYaNDAyYrBlGsjnlEJWNSJRUUfJIAwrhiQkZzbWE99c5wU9aggKV8pX8kDpsLgbE1Uuln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Year 11 Design and Technology 120 Hour Teaching Program</dc:title>
  <dc:subject>NSW Stage 6 Design and Technology teaching program</dc:subject>
  <dc:creator>Industrial Arts Learning Hub</dc:creator>
  <cp:keywords>Design and Technology, Stage 6, Preliminary, HSC, teaching program</cp:keywords>
  <dc:description>Built 31 August 2026. Current school documents remain authoritative.</dc:description>
  <cp:lastModifiedBy/>
  <cp:revision>1</cp:revision>
  <dcterms:created xsi:type="dcterms:W3CDTF">2013-12-23T23:15:00Z</dcterms:created>
  <dcterms:modified xsi:type="dcterms:W3CDTF">2013-12-23T23:15:00Z</dcterms:modified>
  <cp:category/>
</cp:coreProperties>
</file>