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8B2433"/>
          <w:sz w:val="18"/>
        </w:rPr>
        <w:t>SCHOOL-DEVELOPED · NESA-ALIGNED</w:t>
      </w:r>
    </w:p>
    <w:p>
      <w:pPr>
        <w:spacing w:after="40"/>
      </w:pPr>
      <w:r>
        <w:rPr>
          <w:rFonts w:ascii="Arial" w:hAnsi="Arial"/>
          <w:b/>
          <w:i w:val="0"/>
          <w:color w:val="3B1118"/>
          <w:sz w:val="46"/>
        </w:rPr>
        <w:t>Year 10 Graphics Technology</w:t>
      </w:r>
    </w:p>
    <w:p>
      <w:pPr>
        <w:spacing w:after="100"/>
      </w:pPr>
      <w:r>
        <w:rPr>
          <w:rFonts w:ascii="Arial" w:hAnsi="Arial"/>
          <w:b w:val="0"/>
          <w:i w:val="0"/>
          <w:color w:val="65545A"/>
          <w:sz w:val="22"/>
        </w:rPr>
        <w:t>Teacher program · four-term source sequence · course-aligned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06"/>
        <w:gridCol w:w="3906"/>
        <w:gridCol w:w="3906"/>
        <w:gridCol w:w="3906"/>
      </w:tblGrid>
      <w:tr>
        <w:tc>
          <w:tcPr>
            <w:tcW w:type="dxa" w:w="16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3B1118"/>
                <w:sz w:val="19"/>
              </w:rPr>
              <w:t>Version / issue</w:t>
            </w:r>
          </w:p>
        </w:tc>
        <w:tc>
          <w:tcPr>
            <w:tcW w:type="dxa" w:w="604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v1.0.0 · 30 August 2026</w:t>
            </w:r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3B1118"/>
                <w:sz w:val="19"/>
              </w:rPr>
              <w:t>Delivery year</w:t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2027 — Teacher to confirm</w:t>
            </w:r>
          </w:p>
        </w:tc>
      </w:tr>
      <w:tr>
        <w:tc>
          <w:tcPr>
            <w:tcW w:type="dxa" w:w="16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3B1118"/>
                <w:sz w:val="19"/>
              </w:rPr>
              <w:t>Selected syllabus</w:t>
            </w:r>
          </w:p>
        </w:tc>
        <w:tc>
          <w:tcPr>
            <w:tcW w:type="dxa" w:w="604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Graphics Technology Years 7–10 Syllabus (2019)</w:t>
            </w:r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3B1118"/>
                <w:sz w:val="19"/>
              </w:rPr>
              <w:t>Implementation</w:t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Current/default 2026–2027 pathway; new Communication Technology syllabus begins in 2028</w:t>
            </w:r>
          </w:p>
        </w:tc>
      </w:tr>
      <w:tr>
        <w:tc>
          <w:tcPr>
            <w:tcW w:type="dxa" w:w="1656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3B1118"/>
                <w:sz w:val="19"/>
              </w:rPr>
              <w:t>Course scope</w:t>
            </w:r>
          </w:p>
        </w:tc>
        <w:tc>
          <w:tcPr>
            <w:tcW w:type="dxa" w:w="6048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Stage 5 elective · Year 10 component · four terms</w:t>
            </w:r>
          </w:p>
        </w:tc>
        <w:tc>
          <w:tcPr>
            <w:tcW w:type="dxa" w:w="180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3B1118"/>
                <w:sz w:val="19"/>
              </w:rPr>
              <w:t>Duration / timetable</w:t>
            </w:r>
          </w:p>
        </w:tc>
        <w:tc>
          <w:tcPr>
            <w:tcW w:type="dxa" w:w="6120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Exact periods/hours and 100-hour or 200-hour status — Teacher to confirm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i w:val="0"/>
          <w:color w:val="3B1118"/>
          <w:sz w:val="19"/>
        </w:rPr>
        <w:t xml:space="preserve">Authority and use boundary. </w:t>
      </w:r>
      <w:r>
        <w:rPr>
          <w:rFonts w:ascii="Arial" w:hAnsi="Arial"/>
          <w:b w:val="0"/>
          <w:i w:val="0"/>
          <w:color w:val="241D20"/>
          <w:sz w:val="19"/>
        </w:rPr>
        <w:t>This is a school-developed program backward-mapped from the integrated course. It does not imply NESA endorsement. Follow current teacher-issued plans, licensed standards, local WHS controls and approved assessment notifications.</w:t>
      </w:r>
    </w:p>
    <w:p>
      <w:pPr>
        <w:spacing w:after="80"/>
      </w:pPr>
      <w:hyperlink r:id="rId11">
        <w:r>
          <w:rPr>
            <w:color w:val="8B2433"/>
            <w:b/>
            <w:rFonts w:ascii="Arial" w:hAnsi="Arial"/>
            <w:sz w:val="20"/>
          </w:rPr>
          <w:t>Official NESA syllabus page</w:t>
        </w:r>
      </w:hyperlink>
      <w:r>
        <w:t xml:space="preserve">  ·  </w:t>
      </w:r>
      <w:hyperlink r:id="rId12">
        <w:r>
          <w:rPr>
            <w:color w:val="8B2433"/>
            <w:b/>
            <w:rFonts w:ascii="Arial" w:hAnsi="Arial"/>
            <w:sz w:val="20"/>
          </w:rPr>
          <w:t>Current WWHS Assessment Handbooks</w:t>
        </w:r>
      </w:hyperlink>
    </w:p>
    <w:p>
      <w:pPr>
        <w:pStyle w:val="Heading2"/>
      </w:pPr>
      <w:r>
        <w:t>Official Stage 5 outcomes — exact wording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4256"/>
      </w:tblGrid>
      <w:tr>
        <w:trPr>
          <w:tblHeader w:val="true"/>
        </w:trPr>
        <w:tc>
          <w:tcPr>
            <w:tcW w:type="dxa" w:w="1296"/>
            <w:shd w:fill="8B2433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14256"/>
            <w:shd w:fill="8B2433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 student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GT5-1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communicates ideas graphically using freehand sketching and accurate drafting techniques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GT5-2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analyses the context of information and intended audience to select and develop appropriate presentations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GT5-3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designs and produces a range of graphical presentations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GT5-4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evaluates the effectiveness of different modes of graphical communications for a variety of purposes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GT5-5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identifies, interprets, selects and applies graphics conventions, standards and procedures in graphical communications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GT5-6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manages the development of graphical presentations to meet project briefs and specifications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GT5-7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manipulates and produces images using digital drafting and presentation technologies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GT5-8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designs, produces and evaluates multimedia presentations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GT5-9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identifies, assesses and manages relevant WHS factors to minimise risks in the work environment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GT5-10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demonstrates responsible and safe work practices for self and others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GT5-11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demonstrates the application of graphics to a range of industrial, commercial and personal settings</w:t>
            </w:r>
          </w:p>
        </w:tc>
      </w:tr>
      <w:tr>
        <w:tc>
          <w:tcPr>
            <w:tcW w:type="dxa" w:w="129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8"/>
              </w:rPr>
              <w:t>GT5-12</w:t>
            </w:r>
          </w:p>
        </w:tc>
        <w:tc>
          <w:tcPr>
            <w:tcW w:type="dxa" w:w="14256"/>
            <w:tcMar>
              <w:top w:w="22" w:type="dxa"/>
              <w:start w:w="55" w:type="dxa"/>
              <w:bottom w:w="22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8"/>
              </w:rPr>
              <w:t>evaluates the impact of graphics on society, industry and the environment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i w:val="0"/>
          <w:color w:val="8B2433"/>
          <w:sz w:val="18"/>
        </w:rPr>
        <w:t xml:space="preserve">Teacher to confirm before use: </w:t>
      </w:r>
      <w:r>
        <w:rPr>
          <w:rFonts w:ascii="Arial" w:hAnsi="Arial"/>
          <w:b w:val="0"/>
          <w:i w:val="0"/>
          <w:color w:val="241D20"/>
          <w:sz w:val="18"/>
        </w:rPr>
        <w:t>delivery year; timetable and total course hours; 100-hour/200-hour classification and prior Core Modules 1–2 coverage; current local practical/WHS instructions; exact issued assessment dates, criteria and submission conditions.</w:t>
      </w:r>
    </w:p>
    <w:p>
      <w:pPr>
        <w:spacing w:before="60" w:after="20"/>
      </w:pPr>
      <w:r>
        <w:rPr>
          <w:rFonts w:ascii="Arial" w:hAnsi="Arial"/>
          <w:b/>
          <w:i w:val="0"/>
          <w:color w:val="3B1118"/>
          <w:sz w:val="18"/>
        </w:rPr>
        <w:t xml:space="preserve">Evidence, feedback and support. </w:t>
      </w:r>
      <w:r>
        <w:rPr>
          <w:rFonts w:ascii="Arial" w:hAnsi="Arial"/>
          <w:b w:val="0"/>
          <w:i w:val="0"/>
          <w:color w:val="241D20"/>
          <w:sz w:val="18"/>
        </w:rPr>
        <w:t>Use option-specific feedback after deliberate checking, keep retries open, review each capstone against its success criteria, and treat browser-local records as learning evidence unless the current teacher directs otherwise.</w:t>
      </w:r>
    </w:p>
    <w:p>
      <w:pPr>
        <w:spacing w:after="20"/>
      </w:pPr>
      <w:r>
        <w:rPr>
          <w:rFonts w:ascii="Arial" w:hAnsi="Arial"/>
          <w:b/>
          <w:i w:val="0"/>
          <w:color w:val="3B1118"/>
          <w:sz w:val="18"/>
        </w:rPr>
        <w:t xml:space="preserve">Practical and workplace control. </w:t>
      </w:r>
      <w:r>
        <w:rPr>
          <w:rFonts w:ascii="Arial" w:hAnsi="Arial"/>
          <w:b w:val="0"/>
          <w:i w:val="0"/>
          <w:color w:val="241D20"/>
          <w:sz w:val="18"/>
        </w:rPr>
        <w:t>Drawing, CAD and project production must use current teacher-approved sources, facilities and procedures. Do not infer dimensions, tolerances, standards access, equipment, PPE, approval or public-release permission from this program or website.</w:t>
      </w:r>
    </w:p>
    <w:p>
      <w:pPr>
        <w:spacing w:after="0"/>
      </w:pPr>
      <w:r>
        <w:rPr>
          <w:rFonts w:ascii="Arial" w:hAnsi="Arial"/>
          <w:b/>
          <w:i w:val="0"/>
          <w:color w:val="3B1118"/>
          <w:sz w:val="18"/>
        </w:rPr>
        <w:t xml:space="preserve">Sign-off: </w:t>
      </w:r>
      <w:r>
        <w:rPr>
          <w:rFonts w:ascii="Arial" w:hAnsi="Arial"/>
          <w:b w:val="0"/>
          <w:i w:val="0"/>
          <w:color w:val="241D20"/>
          <w:sz w:val="18"/>
        </w:rPr>
        <w:t>Program reviewed by ____________________  Date __________  Faculty approval ____________________  Review due __________</w:t>
      </w:r>
    </w:p>
    <w:p>
      <w:pPr>
        <w:pStyle w:val="Heading1"/>
        <w:pageBreakBefore/>
      </w:pPr>
      <w:r>
        <w:t>Teaching sequence · P1–P9 · Graphic Design &amp; Communication</w:t>
      </w:r>
    </w:p>
    <w:p>
      <w:pPr>
        <w:spacing w:after="60"/>
      </w:pPr>
      <w:r>
        <w:rPr>
          <w:rFonts w:ascii="Arial" w:hAnsi="Arial"/>
          <w:b/>
          <w:i w:val="0"/>
          <w:color w:val="8B2433"/>
          <w:sz w:val="17"/>
        </w:rPr>
        <w:t xml:space="preserve">P is an ordered program sequence point. </w:t>
      </w:r>
      <w:r>
        <w:rPr>
          <w:rFonts w:ascii="Arial" w:hAnsi="Arial"/>
          <w:b w:val="0"/>
          <w:i w:val="0"/>
          <w:color w:val="65545A"/>
          <w:sz w:val="17"/>
        </w:rPr>
        <w:t>The number and length of timetable lessons used for each point remain Teacher to confirm; rows expand during delivery through the register.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267"/>
        <w:gridCol w:w="1757"/>
        <w:gridCol w:w="3888"/>
        <w:gridCol w:w="4032"/>
        <w:gridCol w:w="4248"/>
      </w:tblGrid>
      <w:tr>
        <w:trPr>
          <w:tblHeader w:val="true"/>
        </w:trPr>
        <w:tc>
          <w:tcPr>
            <w:tcW w:type="dxa" w:w="4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26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75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88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40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424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Safety signs and visual conventions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13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Identify and apply standard symbols and related conventions in graphic-design and communication contexts.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GT5-2, GT5-4, GT5-5, GT5-9, GT5-10,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Safety signs and visual conventions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14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Recognise the significance of standard symbols in international, multilingual and cultural communication.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GT5-2, GT5-4, GT5-5, GT5-9, GT5-10,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Safety signs and visual conventions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Identify WHS issues related to graphics products and processes and demonstrate safe and responsible practices.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GT5-2, GT5-4, GT5-5, GT5-9, GT5-10, GT5-11</w:t>
            </w:r>
          </w:p>
          <w:p>
            <w:pPr>
              <w:spacing w:after="0"/>
            </w:pPr>
            <w:hyperlink r:id="rId15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16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4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Vector graphics and Illustrator workflows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17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Select and use file formats and image sizes suitable for print and digital-media projects.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GT5-1, GT5-3, GT5-5, GT5-7,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5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Vector graphics and Illustrator workflows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18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geometric construction techniques to the development of graphical images such as logos and pictograms.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GT5-1, GT5-3, GT5-5, GT5-7,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6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Vector graphics and Illustrator workflows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Use appropriate manual and digital processes to produce graphic designs for a given situation.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GT5-1, GT5-3, GT5-5, GT5-7, GT5-11</w:t>
            </w:r>
          </w:p>
          <w:p>
            <w:pPr>
              <w:spacing w:after="0"/>
            </w:pPr>
            <w:hyperlink r:id="rId19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20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7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Design principles, audience, culture and intellectual property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21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composition, proportion, balance, tone and contrast to print and digital media.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GT5-1, GT5-2, GT5-4, GT5-6, GT5-8,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8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Design principles, audience, culture and intellectual property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22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Explore the use and protection of localised signs and symbols in Aboriginal and Torres Strait Islander cultural expression.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GT5-1, GT5-2, GT5-4, GT5-6, GT5-8,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9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Design principles, audience, culture and intellectual property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 Complete the module puzzle and review.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Investigate cultural knowledge and heritage, trademarks and copyright in the production and reproduction of communication graphics.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GT5-1, GT5-2, GT5-4, GT5-6, GT5-8, GT5-12</w:t>
            </w:r>
          </w:p>
          <w:p>
            <w:pPr>
              <w:spacing w:after="0"/>
            </w:pPr>
            <w:hyperlink r:id="rId23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24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3B1118"/>
          <w:sz w:val="17"/>
        </w:rPr>
        <w:t xml:space="preserve">Assessment boundary. </w:t>
      </w:r>
      <w:r>
        <w:rPr>
          <w:rFonts w:ascii="Arial" w:hAnsi="Arial"/>
          <w:b w:val="0"/>
          <w:i w:val="0"/>
          <w:color w:val="241D20"/>
          <w:sz w:val="17"/>
        </w:rPr>
        <w:t>Current 2026 schedule: Graphic Design and Communication, Term 1 Week 10, 35%; draft notification requires teacher approval.</w:t>
      </w:r>
    </w:p>
    <w:p>
      <w:pPr>
        <w:pStyle w:val="Heading1"/>
        <w:pageBreakBefore/>
      </w:pPr>
      <w:r>
        <w:t>Teaching sequence · P10–P18 · Architectural Drawing</w:t>
      </w:r>
    </w:p>
    <w:p>
      <w:pPr>
        <w:spacing w:after="60"/>
      </w:pPr>
      <w:r>
        <w:rPr>
          <w:rFonts w:ascii="Arial" w:hAnsi="Arial"/>
          <w:b/>
          <w:i w:val="0"/>
          <w:color w:val="8B2433"/>
          <w:sz w:val="17"/>
        </w:rPr>
        <w:t xml:space="preserve">P is an ordered program sequence point. </w:t>
      </w:r>
      <w:r>
        <w:rPr>
          <w:rFonts w:ascii="Arial" w:hAnsi="Arial"/>
          <w:b w:val="0"/>
          <w:i w:val="0"/>
          <w:color w:val="65545A"/>
          <w:sz w:val="17"/>
        </w:rPr>
        <w:t>The number and length of timetable lessons used for each point remain Teacher to confirm; rows expand during delivery through the register.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267"/>
        <w:gridCol w:w="1757"/>
        <w:gridCol w:w="3888"/>
        <w:gridCol w:w="4032"/>
        <w:gridCol w:w="4248"/>
      </w:tblGrid>
      <w:tr>
        <w:trPr>
          <w:tblHeader w:val="true"/>
        </w:trPr>
        <w:tc>
          <w:tcPr>
            <w:tcW w:type="dxa" w:w="4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26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75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88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40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424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10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Spatial planning and architectural research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25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architectural drawing types to concept-design situations for communication with clients.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GT5-1, GT5-2, GT5-3, GT5-6,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11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Spatial planning and architectural research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26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Research and develop architectural designs using ICT as appropriate.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GT5-1, GT5-2, GT5-3, GT5-6,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12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Spatial planning and architectural research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Investigate environmental issues relating to architecture and design ecologically sustainable architectural spaces.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GT5-1, GT5-2, GT5-3, GT5-6, GT5-12</w:t>
            </w:r>
          </w:p>
          <w:p>
            <w:pPr>
              <w:spacing w:after="0"/>
            </w:pPr>
            <w:hyperlink r:id="rId27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28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13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CAD drafting, drawing views and conventions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29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AS 1100.301 architectural-drawing conventions, scales, graphical symbols and units as authorised by current sources.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GT5-3, GT5-5, GT5-7,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14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CAD drafting, drawing views and conventions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30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Produce site or block plans, floor plans, standard elevations and sections for architectural purposes.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GT5-3, GT5-5, GT5-7,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15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CAD drafting, drawing views and conventions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Generate two-dimensional drawings and three-dimensional models using CAD, linking related drawings as a coordinated set.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GT5-3, GT5-5, GT5-7, GT5-11</w:t>
            </w:r>
          </w:p>
          <w:p>
            <w:pPr>
              <w:spacing w:after="0"/>
            </w:pPr>
            <w:hyperlink r:id="rId31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32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16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Sustainability, building context and professional roles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33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Explore the roles of professionals in architecture and the building industry.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GT5-2, GT5-4, GT5-9, GT5-10, GT5-11,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17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Sustainability, building context and professional roles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34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Investigate related authorities, statutory requirements, building codes and approval requirements without claiming that classroom work proves compliance.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GT5-2, GT5-4, GT5-9, GT5-10, GT5-11,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18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Sustainability, building context and professional roles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 Complete the module puzzle and review.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Investigate environmental issues and current building practices in the design of ecologically sustainable architectural spaces.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GT5-2, GT5-4, GT5-9, GT5-10, GT5-11, GT5-12</w:t>
            </w:r>
          </w:p>
          <w:p>
            <w:pPr>
              <w:spacing w:after="0"/>
            </w:pPr>
            <w:hyperlink r:id="rId35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36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3B1118"/>
          <w:sz w:val="17"/>
        </w:rPr>
        <w:t xml:space="preserve">Assessment boundary. </w:t>
      </w:r>
      <w:r>
        <w:rPr>
          <w:rFonts w:ascii="Arial" w:hAnsi="Arial"/>
          <w:b w:val="0"/>
          <w:i w:val="0"/>
          <w:color w:val="241D20"/>
          <w:sz w:val="17"/>
        </w:rPr>
        <w:t>Current 2026 schedule: Architectural Drawing, Term 2 Week 8, 35%; exact date, criteria and submission remain Teacher to confirm.</w:t>
      </w:r>
    </w:p>
    <w:p>
      <w:pPr>
        <w:pStyle w:val="Heading1"/>
        <w:pageBreakBefore/>
      </w:pPr>
      <w:r>
        <w:t>Teaching sequence · P19–P27 · Engineering Drawing</w:t>
      </w:r>
    </w:p>
    <w:p>
      <w:pPr>
        <w:spacing w:after="60"/>
      </w:pPr>
      <w:r>
        <w:rPr>
          <w:rFonts w:ascii="Arial" w:hAnsi="Arial"/>
          <w:b/>
          <w:i w:val="0"/>
          <w:color w:val="8B2433"/>
          <w:sz w:val="17"/>
        </w:rPr>
        <w:t xml:space="preserve">P is an ordered program sequence point. </w:t>
      </w:r>
      <w:r>
        <w:rPr>
          <w:rFonts w:ascii="Arial" w:hAnsi="Arial"/>
          <w:b w:val="0"/>
          <w:i w:val="0"/>
          <w:color w:val="65545A"/>
          <w:sz w:val="17"/>
        </w:rPr>
        <w:t>The number and length of timetable lessons used for each point remain Teacher to confirm; rows expand during delivery through the register.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267"/>
        <w:gridCol w:w="1757"/>
        <w:gridCol w:w="3888"/>
        <w:gridCol w:w="4032"/>
        <w:gridCol w:w="4248"/>
      </w:tblGrid>
      <w:tr>
        <w:trPr>
          <w:tblHeader w:val="true"/>
        </w:trPr>
        <w:tc>
          <w:tcPr>
            <w:tcW w:type="dxa" w:w="4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26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75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88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40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424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19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Projection systems and freehand communication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37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Communicate engineering details of an existing component through freehand sketching.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GT5-1, GT5-2, GT5-3, GT5-5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20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Projection systems and freehand communication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38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Use sketches to plan component assemblies and drawing layouts.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GT5-1, GT5-2, GT5-3, GT5-5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21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Projection systems and freehand communication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sectioning or auxiliary-view techniques where they add necessary information.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GT5-1, GT5-2, GT5-3, GT5-5</w:t>
            </w:r>
          </w:p>
          <w:p>
            <w:pPr>
              <w:spacing w:after="0"/>
            </w:pPr>
            <w:hyperlink r:id="rId39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40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22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CAD modelling, materials and manufacturing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41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Investigate 2D drafting and solid or surface modelling for engineering drawings.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GT5-2, GT5-3, GT5-6, GT5-7, GT5-9, GT5-10, GT5-11,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23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CAD modelling, materials and manufacturing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42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Explore the relationship of engineering CAD applications to CAM.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GT5-2, GT5-3, GT5-6, GT5-7, GT5-9, GT5-10, GT5-11,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24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CAD modelling, materials and manufacturing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Investigate common engineering materials and environmental implications of material selection, and the role of engineers in manufacturing.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GT5-2, GT5-3, GT5-6, GT5-7, GT5-9, GT5-10, GT5-11, GT5-12</w:t>
            </w:r>
          </w:p>
          <w:p>
            <w:pPr>
              <w:spacing w:after="0"/>
            </w:pPr>
            <w:hyperlink r:id="rId43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44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25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Dimensioning, standards, assemblies and animation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45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authorised AS 1100 technical-drawing conventions and standard representations of engineering elements.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GT5-4, GT5-5, GT5-7,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26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Dimensioning, standards, assemblies and animation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46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Produce dimensioned detail drawings and assembly drawings with parts information; controlled tolerances, fits, finishes and weld information require current authority.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GT5-4, GT5-5, GT5-7,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27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Dimensioning, standards, assemblies and animation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 Complete the module puzzle and review.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Create assembled or exploded views and use CAD animation or simulation to communicate digital relationships without claiming physical proof.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GT5-4, GT5-5, GT5-7, GT5-11</w:t>
            </w:r>
          </w:p>
          <w:p>
            <w:pPr>
              <w:spacing w:after="0"/>
            </w:pPr>
            <w:hyperlink r:id="rId47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48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3B1118"/>
          <w:sz w:val="17"/>
        </w:rPr>
        <w:t xml:space="preserve">Assessment boundary. </w:t>
      </w:r>
      <w:r>
        <w:rPr>
          <w:rFonts w:ascii="Arial" w:hAnsi="Arial"/>
          <w:b w:val="0"/>
          <w:i w:val="0"/>
          <w:color w:val="241D20"/>
          <w:sz w:val="17"/>
        </w:rPr>
        <w:t>Current 2026 schedule: Engineering Drawing, Term 4 Week 3, 30%; the learning block occurs earlier and the exact date/issued conditions remain Teacher to confirm.</w:t>
      </w:r>
    </w:p>
    <w:p>
      <w:pPr>
        <w:pStyle w:val="Heading1"/>
        <w:pageBreakBefore/>
      </w:pPr>
      <w:r>
        <w:t>Teaching sequence · P28–P36 · Student Negotiated Project</w:t>
      </w:r>
    </w:p>
    <w:p>
      <w:pPr>
        <w:spacing w:after="60"/>
      </w:pPr>
      <w:r>
        <w:rPr>
          <w:rFonts w:ascii="Arial" w:hAnsi="Arial"/>
          <w:b/>
          <w:i w:val="0"/>
          <w:color w:val="8B2433"/>
          <w:sz w:val="17"/>
        </w:rPr>
        <w:t xml:space="preserve">P is an ordered program sequence point. </w:t>
      </w:r>
      <w:r>
        <w:rPr>
          <w:rFonts w:ascii="Arial" w:hAnsi="Arial"/>
          <w:b w:val="0"/>
          <w:i w:val="0"/>
          <w:color w:val="65545A"/>
          <w:sz w:val="17"/>
        </w:rPr>
        <w:t>The number and length of timetable lessons used for each point remain Teacher to confirm; rows expand during delivery through the register.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267"/>
        <w:gridCol w:w="1757"/>
        <w:gridCol w:w="3888"/>
        <w:gridCol w:w="4032"/>
        <w:gridCol w:w="4248"/>
      </w:tblGrid>
      <w:tr>
        <w:trPr>
          <w:tblHeader w:val="true"/>
        </w:trPr>
        <w:tc>
          <w:tcPr>
            <w:tcW w:type="dxa" w:w="4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126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757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388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Teaching and learning</w:t>
            </w:r>
          </w:p>
        </w:tc>
        <w:tc>
          <w:tcPr>
            <w:tcW w:type="dxa" w:w="4032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Syllabus content</w:t>
            </w:r>
          </w:p>
        </w:tc>
        <w:tc>
          <w:tcPr>
            <w:tcW w:type="dxa" w:w="4248"/>
            <w:shd w:fill="8B243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28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Brief, audience, criteria and constraints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49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Negotiate the area of study for a Student Negotiated Project with the teacher.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GT5-2, GT5-5, GT5-6,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29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Brief, audience, criteria and constraints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50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Select and apply appropriate standards and conventions to the negotiated project.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GT5-2, GT5-5, GT5-6, GT5-11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30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Brief, audience, criteria and constraints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Identify and apply appropriate tools, techniques and technologies to the negotiated project.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GT5-2, GT5-5, GT5-6, GT5-11</w:t>
            </w:r>
          </w:p>
          <w:p>
            <w:pPr>
              <w:spacing w:after="0"/>
            </w:pPr>
            <w:hyperlink r:id="rId51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52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31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Ideation, project management and digital development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53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 sketches to the design, development, communication and planning of project ideas.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GT5-1, GT5-3, GT5-6, GT5-7, GT5-9, GT5-10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32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Ideation, project management and digital development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54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Follow a sequence in producing graphical images and generate a range of graphical images for the negotiated project.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GT5-1, GT5-3, GT5-6, GT5-7, GT5-9, GT5-10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33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Ideation, project management and digital development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Develop the negotiated project using appropriate CAD, rendering or animation software.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GT5-1, GT5-3, GT5-6, GT5-7, GT5-9, GT5-10</w:t>
            </w:r>
          </w:p>
          <w:p>
            <w:pPr>
              <w:spacing w:after="0"/>
            </w:pPr>
            <w:hyperlink r:id="rId55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56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34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Site/theory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Presentation, feedback and evaluation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Teach the named theory; model the key graphics decision; use three visuals and the complete media pathway.</w:t>
            </w:r>
          </w:p>
          <w:p>
            <w:pPr>
              <w:spacing w:after="0"/>
            </w:pPr>
            <w:hyperlink r:id="rId57">
              <w:r>
                <w:rPr>
                  <w:color w:val="8B2433"/>
                  <w:b/>
                  <w:rFonts w:ascii="Arial" w:hAnsi="Arial"/>
                  <w:sz w:val="20"/>
                </w:rPr>
                <w:t>Open theory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Produce a range of graphical presentations while developing the negotiated project.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Questioning + one visible observation.</w:t>
              <w:br/>
              <w:t>GT: GT5-2, GT5-4, GT5-8,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35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Practical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Apply: Presentation, feedback and evaluation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Complete the linked activity, then apply its decision process in a supervised graphics task using current sources.</w:t>
            </w:r>
          </w:p>
          <w:p>
            <w:pPr>
              <w:spacing w:after="0"/>
            </w:pPr>
            <w:hyperlink r:id="rId58">
              <w:r>
                <w:rPr>
                  <w:color w:val="8B2433"/>
                  <w:b/>
                  <w:rFonts w:ascii="Arial" w:hAnsi="Arial"/>
                  <w:sz w:val="20"/>
                </w:rPr>
                <w:t>Open activity</w:t>
              </w:r>
            </w:hyperlink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Develop a multimedia presentation for a targeted audience.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Saved activity practice + one teacher-checked graphics record.</w:t>
              <w:br/>
              <w:t>GT: GT5-2, GT5-4, GT5-8, GT5-12</w:t>
            </w:r>
          </w:p>
        </w:tc>
      </w:tr>
      <w:tr>
        <w:trPr>
          <w:cantSplit/>
        </w:trPr>
        <w:tc>
          <w:tcPr>
            <w:tcW w:type="dxa" w:w="4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8B2433"/>
                <w:sz w:val="19"/>
              </w:rPr>
              <w:t>36</w:t>
            </w:r>
          </w:p>
        </w:tc>
        <w:tc>
          <w:tcPr>
            <w:tcW w:type="dxa" w:w="126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i w:val="0"/>
                <w:color w:val="241D20"/>
                <w:sz w:val="19"/>
              </w:rPr>
              <w:t>Project/folio</w:t>
            </w:r>
          </w:p>
        </w:tc>
        <w:tc>
          <w:tcPr>
            <w:tcW w:type="dxa" w:w="1757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Retain: Presentation, feedback and evaluation</w:t>
            </w:r>
          </w:p>
        </w:tc>
        <w:tc>
          <w:tcPr>
            <w:tcW w:type="dxa" w:w="388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Check 10 MCQs, draft the capstone and retain one purposeful folio record. Complete the module puzzle and review.</w:t>
            </w:r>
          </w:p>
        </w:tc>
        <w:tc>
          <w:tcPr>
            <w:tcW w:type="dxa" w:w="4032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Evaluate graphical presentations using feedback from appropriate sources.</w:t>
            </w:r>
          </w:p>
        </w:tc>
        <w:tc>
          <w:tcPr>
            <w:tcW w:type="dxa" w:w="4248"/>
            <w:vAlign w:val="top"/>
            <w:tcMar>
              <w:top w:w="28" w:type="dxa"/>
              <w:start w:w="42" w:type="dxa"/>
              <w:bottom w:w="28" w:type="dxa"/>
              <w:end w:w="42" w:type="dxa"/>
            </w:tcMar>
            <w:shd w:fill="FBEAEC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i w:val="0"/>
                <w:color w:val="241D20"/>
                <w:sz w:val="19"/>
              </w:rPr>
              <w:t>10 checked MCQs + capstone + selected folio evidence.</w:t>
              <w:br/>
              <w:t>GT: GT5-2, GT5-4, GT5-8, GT5-12</w:t>
            </w:r>
          </w:p>
          <w:p>
            <w:pPr>
              <w:spacing w:after="0"/>
            </w:pPr>
            <w:hyperlink r:id="rId59">
              <w:r>
                <w:rPr>
                  <w:color w:val="8B2433"/>
                  <w:b/>
                  <w:rFonts w:ascii="Arial" w:hAnsi="Arial"/>
                  <w:sz w:val="20"/>
                </w:rPr>
                <w:t>Check</w:t>
              </w:r>
            </w:hyperlink>
            <w:r>
              <w:t xml:space="preserve">  ·  </w:t>
            </w:r>
            <w:hyperlink r:id="rId60">
              <w:r>
                <w:rPr>
                  <w:color w:val="8B2433"/>
                  <w:b/>
                  <w:rFonts w:ascii="Arial" w:hAnsi="Arial"/>
                  <w:sz w:val="20"/>
                </w:rPr>
                <w:t>Folio</w:t>
              </w:r>
            </w:hyperlink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3B1118"/>
          <w:sz w:val="17"/>
        </w:rPr>
        <w:t xml:space="preserve">Assessment boundary. </w:t>
      </w:r>
      <w:r>
        <w:rPr>
          <w:rFonts w:ascii="Arial" w:hAnsi="Arial"/>
          <w:b w:val="0"/>
          <w:i w:val="0"/>
          <w:color w:val="241D20"/>
          <w:sz w:val="17"/>
        </w:rPr>
        <w:t>Learning/project context only in the current 2026 handbook: not a separate scheduled weighted formal task.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19" w:right="605" w:bottom="619" w:left="605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Arial" w:hAnsi="Arial"/>
        <w:b/>
        <w:i w:val="0"/>
        <w:color w:val="65545A"/>
        <w:sz w:val="17"/>
      </w:rPr>
      <w:t>YEAR 10 GRAPHICS TECHNOLOGY  |  TEACHER PROGRAM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241D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B11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B11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3B11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graphics-technology-7-10-2019" TargetMode="External"/><Relationship Id="rId12" Type="http://schemas.openxmlformats.org/officeDocument/2006/relationships/hyperlink" Target="https://sites.google.com/education.nsw.gov.au/wwhsstudentparentinformation/curriculum-information/assessment-handbooks" TargetMode="External"/><Relationship Id="rId13" Type="http://schemas.openxmlformats.org/officeDocument/2006/relationships/hyperlink" Target="https://stevencowell.github.io/Year-10-Graphics-Technology/modules/module-01.html#m01s01" TargetMode="External"/><Relationship Id="rId14" Type="http://schemas.openxmlformats.org/officeDocument/2006/relationships/hyperlink" Target="https://stevencowell.github.io/Year-10-Graphics-Technology/activities.html#ala-m01s01-context-before-colour-v1" TargetMode="External"/><Relationship Id="rId15" Type="http://schemas.openxmlformats.org/officeDocument/2006/relationships/hyperlink" Target="https://stevencowell.github.io/Year-10-Graphics-Technology/modules/module-01.html#m01s01-check" TargetMode="External"/><Relationship Id="rId16" Type="http://schemas.openxmlformats.org/officeDocument/2006/relationships/hyperlink" Target="https://stevencowell.github.io/Year-10-Graphics-Technology/folio.html#folio-m01-communication-context" TargetMode="External"/><Relationship Id="rId17" Type="http://schemas.openxmlformats.org/officeDocument/2006/relationships/hyperlink" Target="https://stevencowell.github.io/Year-10-Graphics-Technology/modules/module-01.html#m01s02" TargetMode="External"/><Relationship Id="rId18" Type="http://schemas.openxmlformats.org/officeDocument/2006/relationships/hyperlink" Target="https://stevencowell.github.io/Year-10-Graphics-Technology/activities.html#ala-m01s02-vector-workflow-repair-v1" TargetMode="External"/><Relationship Id="rId19" Type="http://schemas.openxmlformats.org/officeDocument/2006/relationships/hyperlink" Target="https://stevencowell.github.io/Year-10-Graphics-Technology/modules/module-01.html#m01s02-check" TargetMode="External"/><Relationship Id="rId20" Type="http://schemas.openxmlformats.org/officeDocument/2006/relationships/hyperlink" Target="https://stevencowell.github.io/Year-10-Graphics-Technology/folio.html#folio-m01-vector-development" TargetMode="External"/><Relationship Id="rId21" Type="http://schemas.openxmlformats.org/officeDocument/2006/relationships/hyperlink" Target="https://stevencowell.github.io/Year-10-Graphics-Technology/modules/module-01.html#m01s03" TargetMode="External"/><Relationship Id="rId22" Type="http://schemas.openxmlformats.org/officeDocument/2006/relationships/hyperlink" Target="https://stevencowell.github.io/Year-10-Graphics-Technology/activities.html#ala-m01s03-design-rights-decision-lab-v1" TargetMode="External"/><Relationship Id="rId23" Type="http://schemas.openxmlformats.org/officeDocument/2006/relationships/hyperlink" Target="https://stevencowell.github.io/Year-10-Graphics-Technology/modules/module-01.html#m01s03-check" TargetMode="External"/><Relationship Id="rId24" Type="http://schemas.openxmlformats.org/officeDocument/2006/relationships/hyperlink" Target="https://stevencowell.github.io/Year-10-Graphics-Technology/folio.html#folio-m01-audience-rights" TargetMode="External"/><Relationship Id="rId25" Type="http://schemas.openxmlformats.org/officeDocument/2006/relationships/hyperlink" Target="https://stevencowell.github.io/Year-10-Graphics-Technology/modules/module-02.html#m02s01" TargetMode="External"/><Relationship Id="rId26" Type="http://schemas.openxmlformats.org/officeDocument/2006/relationships/hyperlink" Target="https://stevencowell.github.io/Year-10-Graphics-Technology/activities.html#ala-m02s01-spatial-relationship-studio-v1" TargetMode="External"/><Relationship Id="rId27" Type="http://schemas.openxmlformats.org/officeDocument/2006/relationships/hyperlink" Target="https://stevencowell.github.io/Year-10-Graphics-Technology/modules/module-02.html#m02s01-check" TargetMode="External"/><Relationship Id="rId28" Type="http://schemas.openxmlformats.org/officeDocument/2006/relationships/hyperlink" Target="https://stevencowell.github.io/Year-10-Graphics-Technology/folio.html#folio-m02-spatial-relationships" TargetMode="External"/><Relationship Id="rId29" Type="http://schemas.openxmlformats.org/officeDocument/2006/relationships/hyperlink" Target="https://stevencowell.github.io/Year-10-Graphics-Technology/modules/module-02.html#m02s02" TargetMode="External"/><Relationship Id="rId30" Type="http://schemas.openxmlformats.org/officeDocument/2006/relationships/hyperlink" Target="https://stevencowell.github.io/Year-10-Graphics-Technology/activities.html#ala-m02s02-cross-view-detective-v1" TargetMode="External"/><Relationship Id="rId31" Type="http://schemas.openxmlformats.org/officeDocument/2006/relationships/hyperlink" Target="https://stevencowell.github.io/Year-10-Graphics-Technology/modules/module-02.html#m02s02-check" TargetMode="External"/><Relationship Id="rId32" Type="http://schemas.openxmlformats.org/officeDocument/2006/relationships/hyperlink" Target="https://stevencowell.github.io/Year-10-Graphics-Technology/folio.html#folio-m02-coordinated-views" TargetMode="External"/><Relationship Id="rId33" Type="http://schemas.openxmlformats.org/officeDocument/2006/relationships/hyperlink" Target="https://stevencowell.github.io/Year-10-Graphics-Technology/modules/module-02.html#m02s03" TargetMode="External"/><Relationship Id="rId34" Type="http://schemas.openxmlformats.org/officeDocument/2006/relationships/hyperlink" Target="https://stevencowell.github.io/Year-10-Graphics-Technology/activities.html#ala-m02s03-coordination-ripple-map-v1" TargetMode="External"/><Relationship Id="rId35" Type="http://schemas.openxmlformats.org/officeDocument/2006/relationships/hyperlink" Target="https://stevencowell.github.io/Year-10-Graphics-Technology/modules/module-02.html#m02s03-check" TargetMode="External"/><Relationship Id="rId36" Type="http://schemas.openxmlformats.org/officeDocument/2006/relationships/hyperlink" Target="https://stevencowell.github.io/Year-10-Graphics-Technology/folio.html#folio-m02-site-sustainability" TargetMode="External"/><Relationship Id="rId37" Type="http://schemas.openxmlformats.org/officeDocument/2006/relationships/hyperlink" Target="https://stevencowell.github.io/Year-10-Graphics-Technology/modules/module-03.html#m03s01" TargetMode="External"/><Relationship Id="rId38" Type="http://schemas.openxmlformats.org/officeDocument/2006/relationships/hyperlink" Target="https://stevencowell.github.io/Year-10-Graphics-Technology/activities.html#ala-m03s01-projection-choice-workshop-v1" TargetMode="External"/><Relationship Id="rId39" Type="http://schemas.openxmlformats.org/officeDocument/2006/relationships/hyperlink" Target="https://stevencowell.github.io/Year-10-Graphics-Technology/modules/module-03.html#m03s01-check" TargetMode="External"/><Relationship Id="rId40" Type="http://schemas.openxmlformats.org/officeDocument/2006/relationships/hyperlink" Target="https://stevencowell.github.io/Year-10-Graphics-Technology/folio.html#folio-m03-projection-source" TargetMode="External"/><Relationship Id="rId41" Type="http://schemas.openxmlformats.org/officeDocument/2006/relationships/hyperlink" Target="https://stevencowell.github.io/Year-10-Graphics-Technology/modules/module-03.html#m03s02" TargetMode="External"/><Relationship Id="rId42" Type="http://schemas.openxmlformats.org/officeDocument/2006/relationships/hyperlink" Target="https://stevencowell.github.io/Year-10-Graphics-Technology/activities.html#ala-m03s02-design-intent-dependency-test-v1" TargetMode="External"/><Relationship Id="rId43" Type="http://schemas.openxmlformats.org/officeDocument/2006/relationships/hyperlink" Target="https://stevencowell.github.io/Year-10-Graphics-Technology/modules/module-03.html#m03s02-check" TargetMode="External"/><Relationship Id="rId44" Type="http://schemas.openxmlformats.org/officeDocument/2006/relationships/hyperlink" Target="https://stevencowell.github.io/Year-10-Graphics-Technology/folio.html#folio-m03-model-intent" TargetMode="External"/><Relationship Id="rId45" Type="http://schemas.openxmlformats.org/officeDocument/2006/relationships/hyperlink" Target="https://stevencowell.github.io/Year-10-Graphics-Technology/modules/module-03.html#m03s03" TargetMode="External"/><Relationship Id="rId46" Type="http://schemas.openxmlformats.org/officeDocument/2006/relationships/hyperlink" Target="https://stevencowell.github.io/Year-10-Graphics-Technology/activities.html#ala-m03s03-drawing-release-audit-v1" TargetMode="External"/><Relationship Id="rId47" Type="http://schemas.openxmlformats.org/officeDocument/2006/relationships/hyperlink" Target="https://stevencowell.github.io/Year-10-Graphics-Technology/modules/module-03.html#m03s03-check" TargetMode="External"/><Relationship Id="rId48" Type="http://schemas.openxmlformats.org/officeDocument/2006/relationships/hyperlink" Target="https://stevencowell.github.io/Year-10-Graphics-Technology/folio.html#folio-m03-release-check" TargetMode="External"/><Relationship Id="rId49" Type="http://schemas.openxmlformats.org/officeDocument/2006/relationships/hyperlink" Target="https://stevencowell.github.io/Year-10-Graphics-Technology/modules/module-04.html#m04s01" TargetMode="External"/><Relationship Id="rId50" Type="http://schemas.openxmlformats.org/officeDocument/2006/relationships/hyperlink" Target="https://stevencowell.github.io/Year-10-Graphics-Technology/activities.html#ala-m04s01-brief-refinery-v1" TargetMode="External"/><Relationship Id="rId51" Type="http://schemas.openxmlformats.org/officeDocument/2006/relationships/hyperlink" Target="https://stevencowell.github.io/Year-10-Graphics-Technology/modules/module-04.html#m04s01-check" TargetMode="External"/><Relationship Id="rId52" Type="http://schemas.openxmlformats.org/officeDocument/2006/relationships/hyperlink" Target="https://stevencowell.github.io/Year-10-Graphics-Technology/folio.html#folio-m04-approved-brief" TargetMode="External"/><Relationship Id="rId53" Type="http://schemas.openxmlformats.org/officeDocument/2006/relationships/hyperlink" Target="https://stevencowell.github.io/Year-10-Graphics-Technology/modules/module-04.html#m04s02" TargetMode="External"/><Relationship Id="rId54" Type="http://schemas.openxmlformats.org/officeDocument/2006/relationships/hyperlink" Target="https://stevencowell.github.io/Year-10-Graphics-Technology/activities.html#ala-m04s02-scope-rescue-board-v1" TargetMode="External"/><Relationship Id="rId55" Type="http://schemas.openxmlformats.org/officeDocument/2006/relationships/hyperlink" Target="https://stevencowell.github.io/Year-10-Graphics-Technology/modules/module-04.html#m04s02-check" TargetMode="External"/><Relationship Id="rId56" Type="http://schemas.openxmlformats.org/officeDocument/2006/relationships/hyperlink" Target="https://stevencowell.github.io/Year-10-Graphics-Technology/folio.html#folio-m04-development-trail" TargetMode="External"/><Relationship Id="rId57" Type="http://schemas.openxmlformats.org/officeDocument/2006/relationships/hyperlink" Target="https://stevencowell.github.io/Year-10-Graphics-Technology/modules/module-04.html#m04s03" TargetMode="External"/><Relationship Id="rId58" Type="http://schemas.openxmlformats.org/officeDocument/2006/relationships/hyperlink" Target="https://stevencowell.github.io/Year-10-Graphics-Technology/activities.html#ala-m04s03-evidence-evaluation-studio-v1" TargetMode="External"/><Relationship Id="rId59" Type="http://schemas.openxmlformats.org/officeDocument/2006/relationships/hyperlink" Target="https://stevencowell.github.io/Year-10-Graphics-Technology/modules/module-04.html#m04s03-check" TargetMode="External"/><Relationship Id="rId60" Type="http://schemas.openxmlformats.org/officeDocument/2006/relationships/hyperlink" Target="https://stevencowell.github.io/Year-10-Graphics-Technology/folio.html#folio-m04-presentation-evalu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Graphics Technology Teacher Program</dc:title>
  <dc:subject>School-developed, NESA-aligned Stage 5 Graphics Technology program</dc:subject>
  <dc:creator>Steve Cowell</dc:creator>
  <cp:keywords/>
  <dc:description>Course-aligned release. Exact timetable, course-hours status and current teacher-controlled conditions remain to be confirmed before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