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17"/>
        </w:rPr>
        <w:t>WORK STUDIES · SITE-ALIGNED TEACHING PROGRAM</w:t>
      </w:r>
    </w:p>
    <w:p>
      <w:pPr>
        <w:pStyle w:val="Title"/>
      </w:pPr>
      <w:r>
        <w:rPr>
          <w:rFonts w:ascii="Arial" w:hAnsi="Arial"/>
          <w:b/>
          <w:i w:val="0"/>
          <w:color w:val="123247"/>
          <w:sz w:val="46"/>
        </w:rPr>
        <w:t>Year 11 Delivery Register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52616A"/>
          <w:sz w:val="22"/>
        </w:rPr>
        <w:t>Planned sequence with blank teacher completion and variance fields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Use this register after the local timetable and sequence are confirmed. Record what was taught, any variance, evidence checked, adjustments and follow-up; do not use it to claim unobserved practical competence.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11–20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21–30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31–40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41–50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51–60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61–70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71–80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Explain the first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Explain the second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Analyse the worked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Examine the learning visual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81–90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Plan an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Complete the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Use feedback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Explain the first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Explain the second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Analyse the worked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Examine the learning visual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91–100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Plan an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Complete the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Use feedback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Explain the first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Explain the second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Analyse the worked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Examine the learning visual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101–110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Plan an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Complete the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Use feedback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111–120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397" w:right="567" w:bottom="397" w:left="56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616A"/>
        <w:sz w:val="17"/>
      </w:rPr>
      <w:t xml:space="preserve">Page </w:t>
    </w:r>
    <w:r>
      <w:rPr>
        <w:rFonts w:ascii="Arial" w:hAnsi="Arial"/>
        <w:b w:val="0"/>
        <w:i w:val="0"/>
        <w:color w:val="52616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Arial" w:hAnsi="Arial"/>
        <w:b/>
        <w:i w:val="0"/>
        <w:color w:val="52616A"/>
        <w:sz w:val="17"/>
      </w:rPr>
      <w:t>Years 11–12 Work Studies · Year 11 delivery register ·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1423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232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6B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232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2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40" w:hanging="170"/>
      <w:contextualSpacing/>
    </w:pPr>
    <w:rPr>
      <w:rFonts w:ascii="Arial" w:hAnsi="Arial"/>
      <w:color w:val="14232D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