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11 Preliminary Textiles and Design</w:t>
      </w:r>
    </w:p>
    <w:p>
      <w:pPr>
        <w:spacing w:after="100"/>
      </w:pPr>
      <w:r>
        <w:rPr>
          <w:rFonts w:ascii="Calibri" w:hAnsi="Calibri"/>
          <w:b/>
          <w:i w:val="0"/>
          <w:color w:val="A43D3D"/>
          <w:sz w:val="21"/>
        </w:rPr>
        <w:t>Scope and sequence v1.1 - implementation version</w:t>
      </w:r>
    </w:p>
    <w:tbl>
      <w:tblPr>
        <w:tblStyle w:val="TableGrid"/>
        <w:tblW w:type="dxa" w:w="15000"/>
        <w:jc w:val="left"/>
        <w:tblLayout w:type="fixed"/>
        <w:tblLook w:firstColumn="1" w:firstRow="1" w:lastColumn="0" w:lastRow="0" w:noHBand="0" w:noVBand="1" w:val="04A0"/>
        <w:tblInd w:w="90" w:type="dxa"/>
      </w:tblPr>
      <w:tblGrid>
        <w:gridCol w:w="1500"/>
        <w:gridCol w:w="6000"/>
        <w:gridCol w:w="1500"/>
        <w:gridCol w:w="6000"/>
      </w:tblGrid>
      <w:tr>
        <w:trPr>
          <w:cantSplit/>
        </w:trPr>
        <w:tc>
          <w:tcPr>
            <w:tcW w:type="dxa" w:w="1500"/>
            <w:tcMar>
              <w:top w:w="70" w:type="dxa"/>
              <w:start w:w="90" w:type="dxa"/>
              <w:bottom w:w="70" w:type="dxa"/>
              <w:end w:w="90" w:type="dxa"/>
            </w:tcMar>
            <w:vAlign w:val="center"/>
            <w:shd w:fill="E8EEF5"/>
          </w:tcPr>
          <w:p>
            <w:pPr>
              <w:spacing w:before="0" w:after="0" w:line="240" w:lineRule="auto"/>
            </w:pPr>
            <w:r>
              <w:rPr>
                <w:rFonts w:ascii="Calibri" w:hAnsi="Calibri"/>
                <w:b/>
                <w:i w:val="0"/>
                <w:color w:val="17324D"/>
                <w:sz w:val="18"/>
              </w:rPr>
              <w:t>Delivery</w:t>
            </w:r>
          </w:p>
        </w:tc>
        <w:tc>
          <w:tcPr>
            <w:tcW w:type="dxa" w:w="6000"/>
            <w:tcMar>
              <w:top w:w="70" w:type="dxa"/>
              <w:start w:w="90" w:type="dxa"/>
              <w:bottom w:w="70" w:type="dxa"/>
              <w:end w:w="90" w:type="dxa"/>
            </w:tcMar>
            <w:vAlign w:val="center"/>
          </w:tcPr>
          <w:p>
            <w:pPr>
              <w:spacing w:before="0" w:after="0" w:line="240" w:lineRule="auto"/>
            </w:pPr>
            <w:r>
              <w:rPr>
                <w:rFonts w:ascii="Calibri" w:hAnsi="Calibri"/>
                <w:b w:val="0"/>
                <w:i w:val="0"/>
                <w:color w:val="1A1A1A"/>
                <w:sz w:val="18"/>
              </w:rPr>
              <w:t>2026; 30 weeks; 120 indicative hours</w:t>
            </w:r>
          </w:p>
        </w:tc>
        <w:tc>
          <w:tcPr>
            <w:tcW w:type="dxa" w:w="1500"/>
            <w:tcMar>
              <w:top w:w="70" w:type="dxa"/>
              <w:start w:w="90" w:type="dxa"/>
              <w:bottom w:w="70" w:type="dxa"/>
              <w:end w:w="90" w:type="dxa"/>
            </w:tcMar>
            <w:vAlign w:val="center"/>
            <w:shd w:fill="E8EEF5"/>
          </w:tcPr>
          <w:p>
            <w:pPr>
              <w:spacing w:before="0" w:after="0" w:line="240" w:lineRule="auto"/>
            </w:pPr>
            <w:r>
              <w:rPr>
                <w:rFonts w:ascii="Calibri" w:hAnsi="Calibri"/>
                <w:b/>
                <w:i w:val="0"/>
                <w:color w:val="17324D"/>
                <w:sz w:val="18"/>
              </w:rPr>
              <w:t>Syllabus</w:t>
            </w:r>
          </w:p>
        </w:tc>
        <w:tc>
          <w:tcPr>
            <w:tcW w:type="dxa" w:w="6000"/>
            <w:tcMar>
              <w:top w:w="70" w:type="dxa"/>
              <w:start w:w="90" w:type="dxa"/>
              <w:bottom w:w="70" w:type="dxa"/>
              <w:end w:w="90" w:type="dxa"/>
            </w:tcMar>
            <w:vAlign w:val="center"/>
          </w:tcPr>
          <w:p>
            <w:pPr>
              <w:spacing w:before="0" w:after="0" w:line="240" w:lineRule="auto"/>
            </w:pPr>
            <w:r>
              <w:rPr>
                <w:rFonts w:ascii="Calibri" w:hAnsi="Calibri"/>
                <w:b w:val="0"/>
                <w:i w:val="0"/>
                <w:color w:val="1A1A1A"/>
                <w:sz w:val="18"/>
              </w:rPr>
              <w:t>Textiles and Design Stage 6 (2013)</w:t>
            </w:r>
          </w:p>
        </w:tc>
      </w:tr>
      <w:tr>
        <w:trPr>
          <w:cantSplit/>
        </w:trPr>
        <w:tc>
          <w:tcPr>
            <w:tcW w:type="dxa" w:w="1500"/>
            <w:tcMar>
              <w:top w:w="70" w:type="dxa"/>
              <w:start w:w="90" w:type="dxa"/>
              <w:bottom w:w="70" w:type="dxa"/>
              <w:end w:w="90" w:type="dxa"/>
            </w:tcMar>
            <w:vAlign w:val="center"/>
            <w:shd w:fill="E8EEF5"/>
          </w:tcPr>
          <w:p>
            <w:pPr>
              <w:spacing w:before="0" w:after="0" w:line="240" w:lineRule="auto"/>
            </w:pPr>
            <w:r>
              <w:rPr>
                <w:rFonts w:ascii="Calibri" w:hAnsi="Calibri"/>
                <w:b/>
                <w:i w:val="0"/>
                <w:color w:val="17324D"/>
                <w:sz w:val="18"/>
              </w:rPr>
              <w:t>Required structure</w:t>
            </w:r>
          </w:p>
        </w:tc>
        <w:tc>
          <w:tcPr>
            <w:tcW w:type="dxa" w:w="6000"/>
            <w:tcMar>
              <w:top w:w="70" w:type="dxa"/>
              <w:start w:w="90" w:type="dxa"/>
              <w:bottom w:w="70" w:type="dxa"/>
              <w:end w:w="90" w:type="dxa"/>
            </w:tcMar>
            <w:vAlign w:val="center"/>
          </w:tcPr>
          <w:p>
            <w:pPr>
              <w:spacing w:before="0" w:after="0" w:line="240" w:lineRule="auto"/>
            </w:pPr>
            <w:r>
              <w:rPr>
                <w:rFonts w:ascii="Calibri" w:hAnsi="Calibri"/>
                <w:b w:val="0"/>
                <w:i w:val="0"/>
                <w:color w:val="1A1A1A"/>
                <w:sz w:val="18"/>
              </w:rPr>
              <w:t>Design 40% | Properties 50% | ATCFAI 10%</w:t>
            </w:r>
          </w:p>
        </w:tc>
        <w:tc>
          <w:tcPr>
            <w:tcW w:type="dxa" w:w="1500"/>
            <w:tcMar>
              <w:top w:w="70" w:type="dxa"/>
              <w:start w:w="90" w:type="dxa"/>
              <w:bottom w:w="70" w:type="dxa"/>
              <w:end w:w="90" w:type="dxa"/>
            </w:tcMar>
            <w:vAlign w:val="center"/>
            <w:shd w:fill="E8EEF5"/>
          </w:tcPr>
          <w:p>
            <w:pPr>
              <w:spacing w:before="0" w:after="0" w:line="240" w:lineRule="auto"/>
            </w:pPr>
            <w:r>
              <w:rPr>
                <w:rFonts w:ascii="Calibri" w:hAnsi="Calibri"/>
                <w:b/>
                <w:i w:val="0"/>
                <w:color w:val="17324D"/>
                <w:sz w:val="18"/>
              </w:rPr>
              <w:t>Allocated</w:t>
            </w:r>
          </w:p>
        </w:tc>
        <w:tc>
          <w:tcPr>
            <w:tcW w:type="dxa" w:w="6000"/>
            <w:tcMar>
              <w:top w:w="70" w:type="dxa"/>
              <w:start w:w="90" w:type="dxa"/>
              <w:bottom w:w="70" w:type="dxa"/>
              <w:end w:w="90" w:type="dxa"/>
            </w:tcMar>
            <w:vAlign w:val="center"/>
          </w:tcPr>
          <w:p>
            <w:pPr>
              <w:spacing w:before="0" w:after="0" w:line="240" w:lineRule="auto"/>
            </w:pPr>
            <w:r>
              <w:rPr>
                <w:rFonts w:ascii="Calibri" w:hAnsi="Calibri"/>
                <w:b w:val="0"/>
                <w:i w:val="0"/>
                <w:color w:val="1A1A1A"/>
                <w:sz w:val="18"/>
              </w:rPr>
              <w:t>48 h | 60 h | 12 h</w:t>
            </w:r>
          </w:p>
        </w:tc>
      </w:tr>
      <w:tr>
        <w:trPr>
          <w:cantSplit/>
        </w:trPr>
        <w:tc>
          <w:tcPr>
            <w:tcW w:type="dxa" w:w="1500"/>
            <w:tcMar>
              <w:top w:w="70" w:type="dxa"/>
              <w:start w:w="90" w:type="dxa"/>
              <w:bottom w:w="70" w:type="dxa"/>
              <w:end w:w="90" w:type="dxa"/>
            </w:tcMar>
            <w:vAlign w:val="center"/>
            <w:shd w:fill="E8EEF5"/>
          </w:tcPr>
          <w:p>
            <w:pPr>
              <w:spacing w:before="0" w:after="0" w:line="240" w:lineRule="auto"/>
            </w:pPr>
            <w:r>
              <w:rPr>
                <w:rFonts w:ascii="Calibri" w:hAnsi="Calibri"/>
                <w:b/>
                <w:i w:val="0"/>
                <w:color w:val="17324D"/>
                <w:sz w:val="18"/>
              </w:rPr>
              <w:t>Course requirements</w:t>
            </w:r>
          </w:p>
        </w:tc>
        <w:tc>
          <w:tcPr>
            <w:tcW w:type="dxa" w:w="6000"/>
            <w:tcMar>
              <w:top w:w="70" w:type="dxa"/>
              <w:start w:w="90" w:type="dxa"/>
              <w:bottom w:w="70" w:type="dxa"/>
              <w:end w:w="90" w:type="dxa"/>
            </w:tcMar>
            <w:vAlign w:val="center"/>
          </w:tcPr>
          <w:p>
            <w:pPr>
              <w:spacing w:before="0" w:after="0" w:line="240" w:lineRule="auto"/>
            </w:pPr>
            <w:r>
              <w:rPr>
                <w:rFonts w:ascii="Calibri" w:hAnsi="Calibri"/>
                <w:b w:val="0"/>
                <w:i w:val="0"/>
                <w:color w:val="1A1A1A"/>
                <w:sz w:val="18"/>
              </w:rPr>
              <w:t>Two Preliminary textile projects</w:t>
            </w:r>
          </w:p>
        </w:tc>
        <w:tc>
          <w:tcPr>
            <w:tcW w:type="dxa" w:w="1500"/>
            <w:tcMar>
              <w:top w:w="70" w:type="dxa"/>
              <w:start w:w="90" w:type="dxa"/>
              <w:bottom w:w="70" w:type="dxa"/>
              <w:end w:w="90" w:type="dxa"/>
            </w:tcMar>
            <w:vAlign w:val="center"/>
            <w:shd w:fill="E8EEF5"/>
          </w:tcPr>
          <w:p>
            <w:pPr>
              <w:spacing w:before="0" w:after="0" w:line="240" w:lineRule="auto"/>
            </w:pPr>
            <w:r>
              <w:rPr>
                <w:rFonts w:ascii="Calibri" w:hAnsi="Calibri"/>
                <w:b/>
                <w:i w:val="0"/>
                <w:color w:val="17324D"/>
                <w:sz w:val="18"/>
              </w:rPr>
              <w:t>Website</w:t>
            </w:r>
          </w:p>
        </w:tc>
        <w:tc>
          <w:tcPr>
            <w:tcW w:type="dxa" w:w="6000"/>
            <w:tcMar>
              <w:top w:w="70" w:type="dxa"/>
              <w:start w:w="90" w:type="dxa"/>
              <w:bottom w:w="70" w:type="dxa"/>
              <w:end w:w="90" w:type="dxa"/>
            </w:tcMar>
            <w:vAlign w:val="center"/>
          </w:tcPr>
          <w:p>
            <w:pPr>
              <w:spacing w:before="0" w:after="0" w:line="240" w:lineRule="auto"/>
            </w:pPr>
            <w:r>
              <w:rPr>
                <w:rFonts w:ascii="Calibri" w:hAnsi="Calibri"/>
                <w:b w:val="0"/>
                <w:i w:val="0"/>
                <w:color w:val="1A1A1A"/>
                <w:sz w:val="18"/>
              </w:rPr>
              <w:t>15 two-week learning modules</w:t>
            </w:r>
          </w:p>
        </w:tc>
      </w:tr>
      <w:tr>
        <w:trPr>
          <w:cantSplit/>
        </w:trPr>
        <w:tc>
          <w:tcPr>
            <w:tcW w:type="dxa" w:w="1500"/>
            <w:tcMar>
              <w:top w:w="70" w:type="dxa"/>
              <w:start w:w="90" w:type="dxa"/>
              <w:bottom w:w="70" w:type="dxa"/>
              <w:end w:w="90" w:type="dxa"/>
            </w:tcMar>
            <w:vAlign w:val="center"/>
            <w:shd w:fill="E8EEF5"/>
          </w:tcPr>
          <w:p>
            <w:pPr>
              <w:spacing w:before="0" w:after="0" w:line="240" w:lineRule="auto"/>
            </w:pPr>
            <w:r>
              <w:rPr>
                <w:rFonts w:ascii="Calibri" w:hAnsi="Calibri"/>
                <w:b/>
                <w:i w:val="0"/>
                <w:color w:val="17324D"/>
                <w:sz w:val="18"/>
              </w:rPr>
              <w:t>Approval state</w:t>
            </w:r>
          </w:p>
        </w:tc>
        <w:tc>
          <w:tcPr>
            <w:tcW w:type="dxa" w:w="6000"/>
            <w:tcMar>
              <w:top w:w="70" w:type="dxa"/>
              <w:start w:w="90" w:type="dxa"/>
              <w:bottom w:w="70" w:type="dxa"/>
              <w:end w:w="90" w:type="dxa"/>
            </w:tcMar>
            <w:vAlign w:val="center"/>
          </w:tcPr>
          <w:p>
            <w:pPr>
              <w:spacing w:before="0" w:after="0" w:line="240" w:lineRule="auto"/>
            </w:pPr>
            <w:r>
              <w:rPr>
                <w:rFonts w:ascii="Calibri" w:hAnsi="Calibri"/>
                <w:b w:val="0"/>
                <w:i w:val="0"/>
                <w:color w:val="1A1A1A"/>
                <w:sz w:val="18"/>
              </w:rPr>
              <w:t>School-developed; local adaptation required</w:t>
            </w:r>
          </w:p>
        </w:tc>
        <w:tc>
          <w:tcPr>
            <w:tcW w:type="dxa" w:w="1500"/>
            <w:tcMar>
              <w:top w:w="70" w:type="dxa"/>
              <w:start w:w="90" w:type="dxa"/>
              <w:bottom w:w="70" w:type="dxa"/>
              <w:end w:w="90" w:type="dxa"/>
            </w:tcMar>
            <w:vAlign w:val="center"/>
            <w:shd w:fill="E8EEF5"/>
          </w:tcPr>
          <w:p>
            <w:pPr>
              <w:spacing w:before="0" w:after="0" w:line="240" w:lineRule="auto"/>
            </w:pPr>
            <w:r>
              <w:rPr>
                <w:rFonts w:ascii="Calibri" w:hAnsi="Calibri"/>
                <w:b/>
                <w:i w:val="0"/>
                <w:color w:val="17324D"/>
                <w:sz w:val="18"/>
              </w:rPr>
              <w:t>Timetable</w:t>
            </w:r>
          </w:p>
        </w:tc>
        <w:tc>
          <w:tcPr>
            <w:tcW w:type="dxa" w:w="6000"/>
            <w:tcMar>
              <w:top w:w="70" w:type="dxa"/>
              <w:start w:w="90" w:type="dxa"/>
              <w:bottom w:w="70" w:type="dxa"/>
              <w:end w:w="90" w:type="dxa"/>
            </w:tcMar>
            <w:vAlign w:val="center"/>
          </w:tcPr>
          <w:p>
            <w:pPr>
              <w:spacing w:before="0" w:after="0" w:line="240" w:lineRule="auto"/>
            </w:pPr>
            <w:r>
              <w:rPr>
                <w:rFonts w:ascii="Calibri" w:hAnsi="Calibri"/>
                <w:b w:val="0"/>
                <w:i w:val="0"/>
                <w:color w:val="1A1A1A"/>
                <w:sz w:val="18"/>
              </w:rPr>
              <w:t>Convert 2-hour blocks to local periods - TTC-01</w:t>
            </w:r>
          </w:p>
        </w:tc>
      </w:tr>
    </w:tbl>
    <w:p>
      <w:pPr>
        <w:spacing w:after="20"/>
      </w:pPr>
    </w:p>
    <w:p>
      <w:pPr>
        <w:spacing w:after="60"/>
      </w:pPr>
      <w:r>
        <w:rPr>
          <w:rFonts w:ascii="Calibri" w:hAnsi="Calibri"/>
          <w:b/>
          <w:i w:val="0"/>
          <w:color w:val="A43D3D"/>
          <w:sz w:val="19"/>
        </w:rPr>
        <w:t xml:space="preserve">Sequence rationale. </w:t>
      </w:r>
      <w:r>
        <w:rPr>
          <w:rFonts w:ascii="Calibri" w:hAnsi="Calibri"/>
          <w:b w:val="0"/>
          <w:i w:val="0"/>
          <w:color w:val="1A1A1A"/>
          <w:sz w:val="19"/>
        </w:rPr>
        <w:t>Design learning and Project 1 establish visual analysis, communication and manufacturing foundations. Properties and Performance builds from fibre to yarn to fabric, then testing and Project 2. ATCFAI completes the industry, careers, quality and value study. Module 15 consolidates 4 hours of Design and 4 hours of Properties learning.</w:t>
      </w:r>
    </w:p>
    <w:p>
      <w:pPr>
        <w:pStyle w:val="Heading1"/>
      </w:pPr>
      <w:r>
        <w:t>Scope and sequence - Modules 1-5</w:t>
      </w:r>
    </w:p>
    <w:tbl>
      <w:tblPr>
        <w:tblStyle w:val="TableGrid"/>
        <w:tblW w:type="dxa" w:w="15650"/>
        <w:jc w:val="left"/>
        <w:tblLayout w:type="fixed"/>
        <w:tblLook w:firstColumn="1" w:firstRow="1" w:lastColumn="0" w:lastRow="0" w:noHBand="0" w:noVBand="1" w:val="04A0"/>
        <w:tblInd w:w="90" w:type="dxa"/>
      </w:tblPr>
      <w:tblGrid>
        <w:gridCol w:w="850"/>
        <w:gridCol w:w="800"/>
        <w:gridCol w:w="2200"/>
        <w:gridCol w:w="3700"/>
        <w:gridCol w:w="1650"/>
        <w:gridCol w:w="4250"/>
        <w:gridCol w:w="2200"/>
      </w:tblGrid>
      <w:tr>
        <w:trPr>
          <w:tblHeader w:val="true"/>
        </w:trPr>
        <w:tc>
          <w:tcPr>
            <w:tcW w:type="dxa" w:w="85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Weeks</w:t>
            </w:r>
          </w:p>
        </w:tc>
        <w:tc>
          <w:tcPr>
            <w:tcW w:type="dxa" w:w="80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Hours</w:t>
            </w:r>
          </w:p>
        </w:tc>
        <w:tc>
          <w:tcPr>
            <w:tcW w:type="dxa" w:w="220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Module</w:t>
            </w:r>
          </w:p>
        </w:tc>
        <w:tc>
          <w:tcPr>
            <w:tcW w:type="dxa" w:w="370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Teaching focus</w:t>
            </w:r>
          </w:p>
        </w:tc>
        <w:tc>
          <w:tcPr>
            <w:tcW w:type="dxa" w:w="165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Outcomes</w:t>
            </w:r>
          </w:p>
        </w:tc>
        <w:tc>
          <w:tcPr>
            <w:tcW w:type="dxa" w:w="425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Evidence / project connection</w:t>
            </w:r>
          </w:p>
        </w:tc>
        <w:tc>
          <w:tcPr>
            <w:tcW w:type="dxa" w:w="220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Site state</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1-2</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8</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01</w:t>
              <w:br/>
              <w:t>Design foundations</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Design purpose, users and requirements; Elements of design; Principles of design</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P1.1, P1.2</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Design-analysis studio; Folio Cards 1-2</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3-4</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8</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02</w:t>
              <w:br/>
              <w:t>Applying design</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Focus areas and design types; Factors affecting design; Inspiration and design development</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P1.1, P1.2, P2.1</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Folio Card 3 - design development</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5-6</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8</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03</w:t>
              <w:br/>
              <w:t>Manufacturing foundations</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Manufacturing methods; Commercial pattern information; Planning and quality checkpoints</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P2.1, P2.2, P2.3</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Pattern interpretation and teacher-observed samples</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7-8</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8</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04</w:t>
              <w:br/>
              <w:t>Communicating design</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Drawing and annotation; Production communication; Digital and presentation methods</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P2.1</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Folio Card 3 - communication evidence</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9-10</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12</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05</w:t>
              <w:br/>
              <w:t>Textile Project 1 evidence</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Design refinement; Project management; Evaluation and folio evidence</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P1.1, P1.2, P2.1, P2.2, P2.3, P4.1</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Folio Cards 4-6; supervised Project 1 evidence</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bl>
    <w:p>
      <w:r>
        <w:br w:type="page"/>
      </w:r>
    </w:p>
    <w:p>
      <w:pPr>
        <w:pStyle w:val="Heading1"/>
      </w:pPr>
      <w:r>
        <w:t>Scope and sequence - Modules 6-10</w:t>
      </w:r>
    </w:p>
    <w:tbl>
      <w:tblPr>
        <w:tblStyle w:val="TableGrid"/>
        <w:tblW w:type="dxa" w:w="15650"/>
        <w:jc w:val="left"/>
        <w:tblLayout w:type="fixed"/>
        <w:tblLook w:firstColumn="1" w:firstRow="1" w:lastColumn="0" w:lastRow="0" w:noHBand="0" w:noVBand="1" w:val="04A0"/>
        <w:tblInd w:w="90" w:type="dxa"/>
      </w:tblPr>
      <w:tblGrid>
        <w:gridCol w:w="850"/>
        <w:gridCol w:w="800"/>
        <w:gridCol w:w="2200"/>
        <w:gridCol w:w="3700"/>
        <w:gridCol w:w="1650"/>
        <w:gridCol w:w="4250"/>
        <w:gridCol w:w="2200"/>
      </w:tblGrid>
      <w:tr>
        <w:trPr>
          <w:tblHeader w:val="true"/>
        </w:trPr>
        <w:tc>
          <w:tcPr>
            <w:tcW w:type="dxa" w:w="85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Weeks</w:t>
            </w:r>
          </w:p>
        </w:tc>
        <w:tc>
          <w:tcPr>
            <w:tcW w:type="dxa" w:w="80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Hours</w:t>
            </w:r>
          </w:p>
        </w:tc>
        <w:tc>
          <w:tcPr>
            <w:tcW w:type="dxa" w:w="220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Module</w:t>
            </w:r>
          </w:p>
        </w:tc>
        <w:tc>
          <w:tcPr>
            <w:tcW w:type="dxa" w:w="370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Teaching focus</w:t>
            </w:r>
          </w:p>
        </w:tc>
        <w:tc>
          <w:tcPr>
            <w:tcW w:type="dxa" w:w="165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Outcomes</w:t>
            </w:r>
          </w:p>
        </w:tc>
        <w:tc>
          <w:tcPr>
            <w:tcW w:type="dxa" w:w="425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Evidence / project connection</w:t>
            </w:r>
          </w:p>
        </w:tc>
        <w:tc>
          <w:tcPr>
            <w:tcW w:type="dxa" w:w="220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Site state</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11-12</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8</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06</w:t>
              <w:br/>
              <w:t>Fibre foundations</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Fibre classification; Molecular and morphological structure; From fibre to textile</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P3.1, P3.2</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Folio Card 7 - classification and selection rationale</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13-14</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8</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07</w:t>
              <w:br/>
              <w:t>Natural and manufactured fibres</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Natural cellulosic fibres; Natural protein fibres; Regenerated, synthetic and blended fibres</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P3.1, P3.2</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Folio Card 7 - fibre comparison</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15-16</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8</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08</w:t>
              <w:br/>
              <w:t>Yarn structures</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Staple-spun and filament yarns; Twist and spinning systems; Textured and novelty yarns</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P3.1, P3.2</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Folio Card 7 - yarn structure evidence</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17-18</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8</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09</w:t>
              <w:br/>
              <w:t>Yarn performance</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Yarn characteristics; Structure-property relationships; End-use justification</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P3.1, P3.2</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Folio Card 7 - justified yarn selection</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19-20</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8</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10</w:t>
              <w:br/>
              <w:t>Fabric structures</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Woven structures; Knitted structures; Non-woven structures</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P3.1, P3.2</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Folio Card 7 - fabric identification and comparison</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bl>
    <w:p>
      <w:r>
        <w:br w:type="page"/>
      </w:r>
    </w:p>
    <w:p>
      <w:pPr>
        <w:pStyle w:val="Heading1"/>
      </w:pPr>
      <w:r>
        <w:t>Scope and sequence - Modules 11-15</w:t>
      </w:r>
    </w:p>
    <w:tbl>
      <w:tblPr>
        <w:tblStyle w:val="TableGrid"/>
        <w:tblW w:type="dxa" w:w="15650"/>
        <w:jc w:val="left"/>
        <w:tblLayout w:type="fixed"/>
        <w:tblLook w:firstColumn="1" w:firstRow="1" w:lastColumn="0" w:lastRow="0" w:noHBand="0" w:noVBand="1" w:val="04A0"/>
        <w:tblInd w:w="90" w:type="dxa"/>
      </w:tblPr>
      <w:tblGrid>
        <w:gridCol w:w="850"/>
        <w:gridCol w:w="800"/>
        <w:gridCol w:w="2200"/>
        <w:gridCol w:w="3700"/>
        <w:gridCol w:w="1650"/>
        <w:gridCol w:w="4250"/>
        <w:gridCol w:w="2200"/>
      </w:tblGrid>
      <w:tr>
        <w:trPr>
          <w:tblHeader w:val="true"/>
        </w:trPr>
        <w:tc>
          <w:tcPr>
            <w:tcW w:type="dxa" w:w="85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Weeks</w:t>
            </w:r>
          </w:p>
        </w:tc>
        <w:tc>
          <w:tcPr>
            <w:tcW w:type="dxa" w:w="80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Hours</w:t>
            </w:r>
          </w:p>
        </w:tc>
        <w:tc>
          <w:tcPr>
            <w:tcW w:type="dxa" w:w="220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Module</w:t>
            </w:r>
          </w:p>
        </w:tc>
        <w:tc>
          <w:tcPr>
            <w:tcW w:type="dxa" w:w="370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Teaching focus</w:t>
            </w:r>
          </w:p>
        </w:tc>
        <w:tc>
          <w:tcPr>
            <w:tcW w:type="dxa" w:w="165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Outcomes</w:t>
            </w:r>
          </w:p>
        </w:tc>
        <w:tc>
          <w:tcPr>
            <w:tcW w:type="dxa" w:w="425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Evidence / project connection</w:t>
            </w:r>
          </w:p>
        </w:tc>
        <w:tc>
          <w:tcPr>
            <w:tcW w:type="dxa" w:w="2200"/>
            <w:shd w:fill="17324D"/>
            <w:tcMar>
              <w:top w:w="70" w:type="dxa"/>
              <w:start w:w="90" w:type="dxa"/>
              <w:bottom w:w="70" w:type="dxa"/>
              <w:end w:w="90" w:type="dxa"/>
            </w:tcMar>
          </w:tcPr>
          <w:p>
            <w:pPr>
              <w:spacing w:before="0" w:after="0" w:line="240" w:lineRule="auto"/>
              <w:jc w:val="center"/>
            </w:pPr>
            <w:r>
              <w:rPr>
                <w:rFonts w:ascii="Calibri" w:hAnsi="Calibri"/>
                <w:b/>
                <w:i w:val="0"/>
                <w:color w:val="FFFFFF"/>
                <w:sz w:val="18"/>
              </w:rPr>
              <w:t>Site state</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21-22</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8</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11</w:t>
              <w:br/>
              <w:t>Textile properties and testing</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Properties and end use; Planning a fair textile test; Recording and interpreting results</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P3.1, P3.2, P4.1</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Folio Card 8 - one authorised fair test</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23-24</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8</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12</w:t>
              <w:br/>
              <w:t>Textile Project 2 evidence</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Analysing experimental evidence; Fabric selection and design; Project evidence and evaluation</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P2.1, P2.2, P2.3, P3.1, P3.2, P4.1</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Folio Card 9; supervised Project 2 evidence</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25-26</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6</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13</w:t>
              <w:br/>
              <w:t>Industry and careers</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Industry development and sectors; Local and global context; Careers and training</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P5.1, P5.2</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Folio Card 10 - verified industry/career case</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27-28</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6</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14</w:t>
              <w:br/>
              <w:t>Quality and value</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Quality assurance and control; Manufacturer and consumer roles; Perceived, cultural and economic value</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P6.1</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Folio Card 10 - quality and value analysis</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r>
        <w:trPr>
          <w:cantSplit/>
        </w:trPr>
        <w:tc>
          <w:tcPr>
            <w:tcW w:type="dxa" w:w="8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29-30</w:t>
            </w:r>
          </w:p>
        </w:tc>
        <w:tc>
          <w:tcPr>
            <w:tcW w:type="dxa" w:w="80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8</w:t>
            </w:r>
          </w:p>
        </w:tc>
        <w:tc>
          <w:tcPr>
            <w:tcW w:type="dxa" w:w="2200"/>
            <w:vAlign w:val="center"/>
            <w:tcMar>
              <w:top w:w="70" w:type="dxa"/>
              <w:start w:w="90" w:type="dxa"/>
              <w:bottom w:w="70" w:type="dxa"/>
              <w:end w:w="90" w:type="dxa"/>
            </w:tcMar>
          </w:tcPr>
          <w:p>
            <w:pPr>
              <w:spacing w:before="0" w:after="0" w:line="240" w:lineRule="auto"/>
              <w:jc w:val="left"/>
            </w:pPr>
            <w:r>
              <w:rPr>
                <w:rFonts w:ascii="Calibri" w:hAnsi="Calibri"/>
                <w:b/>
                <w:i w:val="0"/>
                <w:color w:val="17324D"/>
                <w:sz w:val="19"/>
              </w:rPr>
              <w:t>15</w:t>
              <w:br/>
              <w:t>Preliminary revision</w:t>
            </w:r>
          </w:p>
        </w:tc>
        <w:tc>
          <w:tcPr>
            <w:tcW w:type="dxa" w:w="370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Knowledge retrieval; Command terms and response planning; Course synthesis</w:t>
            </w:r>
          </w:p>
        </w:tc>
        <w:tc>
          <w:tcPr>
            <w:tcW w:type="dxa" w:w="1650"/>
            <w:vAlign w:val="center"/>
            <w:tcMar>
              <w:top w:w="70" w:type="dxa"/>
              <w:start w:w="90" w:type="dxa"/>
              <w:bottom w:w="70" w:type="dxa"/>
              <w:end w:w="90" w:type="dxa"/>
            </w:tcMar>
          </w:tcPr>
          <w:p>
            <w:pPr>
              <w:spacing w:before="0" w:after="0" w:line="240" w:lineRule="auto"/>
              <w:jc w:val="center"/>
            </w:pPr>
            <w:r>
              <w:rPr>
                <w:rFonts w:ascii="Calibri" w:hAnsi="Calibri"/>
                <w:b w:val="0"/>
                <w:i w:val="0"/>
                <w:color w:val="1A1A1A"/>
                <w:sz w:val="19"/>
              </w:rPr>
              <w:t>P1.1, P1.2, P2.1, P2.2, P2.3, P3.1, P3.2, P4.1, P5.1, P5.2, P6.1</w:t>
            </w:r>
          </w:p>
        </w:tc>
        <w:tc>
          <w:tcPr>
            <w:tcW w:type="dxa" w:w="4250"/>
            <w:vAlign w:val="center"/>
            <w:tcMar>
              <w:top w:w="70" w:type="dxa"/>
              <w:start w:w="90" w:type="dxa"/>
              <w:bottom w:w="70" w:type="dxa"/>
              <w:end w:w="90" w:type="dxa"/>
            </w:tcMar>
          </w:tcPr>
          <w:p>
            <w:pPr>
              <w:spacing w:before="0" w:after="0" w:line="240" w:lineRule="auto"/>
              <w:jc w:val="left"/>
            </w:pPr>
            <w:r>
              <w:rPr>
                <w:rFonts w:ascii="Calibri" w:hAnsi="Calibri"/>
                <w:b w:val="0"/>
                <w:i w:val="0"/>
                <w:color w:val="1A1A1A"/>
                <w:sz w:val="19"/>
              </w:rPr>
              <w:t>Low-stakes retrieval, response plans and folio completeness check</w:t>
            </w:r>
          </w:p>
        </w:tc>
        <w:tc>
          <w:tcPr>
            <w:tcW w:type="dxa" w:w="2200"/>
            <w:vAlign w:val="center"/>
            <w:shd w:fill="E8EEF5"/>
            <w:tcMar>
              <w:top w:w="70" w:type="dxa"/>
              <w:start w:w="90" w:type="dxa"/>
              <w:bottom w:w="70" w:type="dxa"/>
              <w:end w:w="90" w:type="dxa"/>
            </w:tcMar>
          </w:tcPr>
          <w:p>
            <w:pPr>
              <w:spacing w:before="0" w:after="0" w:line="240" w:lineRule="auto"/>
              <w:jc w:val="left"/>
            </w:pPr>
            <w:r>
              <w:rPr>
                <w:rFonts w:ascii="Calibri" w:hAnsi="Calibri"/>
                <w:b w:val="0"/>
                <w:i w:val="0"/>
                <w:color w:val="1A1A1A"/>
                <w:sz w:val="19"/>
              </w:rPr>
              <w:t>Complete: 3 theory sections, 3 x 10-question checks, 3 written responses, activity, video and presentation.</w:t>
            </w:r>
          </w:p>
        </w:tc>
      </w:tr>
    </w:tbl>
    <w:p>
      <w:pPr>
        <w:spacing w:before="60" w:after="40"/>
      </w:pPr>
      <w:r>
        <w:rPr>
          <w:rFonts w:ascii="Calibri" w:hAnsi="Calibri"/>
          <w:b/>
          <w:i w:val="0"/>
          <w:color w:val="A43D3D"/>
          <w:sz w:val="18"/>
        </w:rPr>
        <w:t>TEACHER TO CONFIRM BEFORE USE</w:t>
      </w:r>
    </w:p>
    <w:tbl>
      <w:tblPr>
        <w:tblStyle w:val="TableGrid"/>
        <w:tblW w:type="dxa" w:w="14600"/>
        <w:jc w:val="left"/>
        <w:tblLayout w:type="fixed"/>
        <w:tblLook w:firstColumn="1" w:firstRow="1" w:lastColumn="0" w:lastRow="0" w:noHBand="0" w:noVBand="1" w:val="04A0"/>
        <w:tblInd w:w="90" w:type="dxa"/>
      </w:tblPr>
      <w:tblGrid>
        <w:gridCol w:w="1250"/>
        <w:gridCol w:w="2300"/>
        <w:gridCol w:w="11050"/>
      </w:tblGrid>
      <w:tr>
        <w:trPr>
          <w:tblHeader w:val="true"/>
        </w:trPr>
        <w:tc>
          <w:tcPr>
            <w:tcW w:type="dxa" w:w="1250"/>
            <w:shd w:fill="A43D3D"/>
            <w:tcMar>
              <w:top w:w="70" w:type="dxa"/>
              <w:start w:w="90" w:type="dxa"/>
              <w:bottom w:w="70" w:type="dxa"/>
              <w:end w:w="90" w:type="dxa"/>
            </w:tcMar>
          </w:tcPr>
          <w:p>
            <w:pPr>
              <w:spacing w:before="0" w:after="0" w:line="240" w:lineRule="auto"/>
              <w:jc w:val="center"/>
            </w:pPr>
            <w:r>
              <w:rPr>
                <w:rFonts w:ascii="Calibri" w:hAnsi="Calibri"/>
                <w:b/>
                <w:i w:val="0"/>
                <w:color w:val="FFFFFF"/>
                <w:sz w:val="17"/>
              </w:rPr>
              <w:t>IDs</w:t>
            </w:r>
          </w:p>
        </w:tc>
        <w:tc>
          <w:tcPr>
            <w:tcW w:type="dxa" w:w="2300"/>
            <w:shd w:fill="A43D3D"/>
            <w:tcMar>
              <w:top w:w="70" w:type="dxa"/>
              <w:start w:w="90" w:type="dxa"/>
              <w:bottom w:w="70" w:type="dxa"/>
              <w:end w:w="90" w:type="dxa"/>
            </w:tcMar>
          </w:tcPr>
          <w:p>
            <w:pPr>
              <w:spacing w:before="0" w:after="0" w:line="240" w:lineRule="auto"/>
              <w:jc w:val="center"/>
            </w:pPr>
            <w:r>
              <w:rPr>
                <w:rFonts w:ascii="Calibri" w:hAnsi="Calibri"/>
                <w:b/>
                <w:i w:val="0"/>
                <w:color w:val="FFFFFF"/>
                <w:sz w:val="17"/>
              </w:rPr>
              <w:t>Area</w:t>
            </w:r>
          </w:p>
        </w:tc>
        <w:tc>
          <w:tcPr>
            <w:tcW w:type="dxa" w:w="11050"/>
            <w:shd w:fill="A43D3D"/>
            <w:tcMar>
              <w:top w:w="70" w:type="dxa"/>
              <w:start w:w="90" w:type="dxa"/>
              <w:bottom w:w="70" w:type="dxa"/>
              <w:end w:w="90" w:type="dxa"/>
            </w:tcMar>
          </w:tcPr>
          <w:p>
            <w:pPr>
              <w:spacing w:before="0" w:after="0" w:line="240" w:lineRule="auto"/>
              <w:jc w:val="center"/>
            </w:pPr>
            <w:r>
              <w:rPr>
                <w:rFonts w:ascii="Calibri" w:hAnsi="Calibri"/>
                <w:b/>
                <w:i w:val="0"/>
                <w:color w:val="FFFFFF"/>
                <w:sz w:val="17"/>
              </w:rPr>
              <w:t>Required confirmation</w:t>
            </w:r>
          </w:p>
        </w:tc>
      </w:tr>
      <w:tr>
        <w:trPr>
          <w:cantSplit/>
        </w:trPr>
        <w:tc>
          <w:tcPr>
            <w:tcW w:type="dxa" w:w="1250"/>
            <w:vAlign w:val="center"/>
            <w:tcMar>
              <w:top w:w="70" w:type="dxa"/>
              <w:start w:w="90" w:type="dxa"/>
              <w:bottom w:w="70" w:type="dxa"/>
              <w:end w:w="90" w:type="dxa"/>
            </w:tcMar>
          </w:tcPr>
          <w:p>
            <w:pPr>
              <w:spacing w:before="0" w:after="0" w:line="240" w:lineRule="auto"/>
            </w:pPr>
            <w:r>
              <w:rPr>
                <w:rFonts w:ascii="Calibri" w:hAnsi="Calibri"/>
                <w:b/>
                <w:i w:val="0"/>
                <w:color w:val="A43D3D"/>
                <w:sz w:val="16"/>
              </w:rPr>
              <w:t>TTC-01</w:t>
            </w:r>
          </w:p>
        </w:tc>
        <w:tc>
          <w:tcPr>
            <w:tcW w:type="dxa" w:w="2300"/>
            <w:vAlign w:val="center"/>
            <w:tcMar>
              <w:top w:w="70" w:type="dxa"/>
              <w:start w:w="90" w:type="dxa"/>
              <w:bottom w:w="70" w:type="dxa"/>
              <w:end w:w="90" w:type="dxa"/>
            </w:tcMar>
          </w:tcPr>
          <w:p>
            <w:pPr>
              <w:spacing w:before="0" w:after="0" w:line="240" w:lineRule="auto"/>
            </w:pPr>
            <w:r>
              <w:rPr>
                <w:rFonts w:ascii="Calibri" w:hAnsi="Calibri"/>
                <w:b/>
                <w:i w:val="0"/>
                <w:color w:val="17324D"/>
                <w:sz w:val="16"/>
              </w:rPr>
              <w:t>Timetable</w:t>
            </w:r>
          </w:p>
        </w:tc>
        <w:tc>
          <w:tcPr>
            <w:tcW w:type="dxa" w:w="11050"/>
            <w:vAlign w:val="center"/>
            <w:tcMar>
              <w:top w:w="70" w:type="dxa"/>
              <w:start w:w="90" w:type="dxa"/>
              <w:bottom w:w="70" w:type="dxa"/>
              <w:end w:w="90" w:type="dxa"/>
            </w:tcMar>
          </w:tcPr>
          <w:p>
            <w:pPr>
              <w:spacing w:before="0" w:after="0" w:line="240" w:lineRule="auto"/>
            </w:pPr>
            <w:r>
              <w:rPr>
                <w:rFonts w:ascii="Calibri" w:hAnsi="Calibri"/>
                <w:b w:val="0"/>
                <w:i w:val="0"/>
                <w:color w:val="1A1A1A"/>
                <w:sz w:val="16"/>
              </w:rPr>
              <w:t>Convert the 60 two-hour blocks to the local timetable before issue.</w:t>
            </w:r>
          </w:p>
        </w:tc>
      </w:tr>
      <w:tr>
        <w:trPr>
          <w:cantSplit/>
        </w:trPr>
        <w:tc>
          <w:tcPr>
            <w:tcW w:type="dxa" w:w="1250"/>
            <w:vAlign w:val="center"/>
            <w:tcMar>
              <w:top w:w="70" w:type="dxa"/>
              <w:start w:w="90" w:type="dxa"/>
              <w:bottom w:w="70" w:type="dxa"/>
              <w:end w:w="90" w:type="dxa"/>
            </w:tcMar>
          </w:tcPr>
          <w:p>
            <w:pPr>
              <w:spacing w:before="0" w:after="0" w:line="240" w:lineRule="auto"/>
            </w:pPr>
            <w:r>
              <w:rPr>
                <w:rFonts w:ascii="Calibri" w:hAnsi="Calibri"/>
                <w:b/>
                <w:i w:val="0"/>
                <w:color w:val="A43D3D"/>
                <w:sz w:val="16"/>
              </w:rPr>
              <w:t>TTC-02-04</w:t>
            </w:r>
          </w:p>
        </w:tc>
        <w:tc>
          <w:tcPr>
            <w:tcW w:type="dxa" w:w="2300"/>
            <w:vAlign w:val="center"/>
            <w:tcMar>
              <w:top w:w="70" w:type="dxa"/>
              <w:start w:w="90" w:type="dxa"/>
              <w:bottom w:w="70" w:type="dxa"/>
              <w:end w:w="90" w:type="dxa"/>
            </w:tcMar>
          </w:tcPr>
          <w:p>
            <w:pPr>
              <w:spacing w:before="0" w:after="0" w:line="240" w:lineRule="auto"/>
            </w:pPr>
            <w:r>
              <w:rPr>
                <w:rFonts w:ascii="Calibri" w:hAnsi="Calibri"/>
                <w:b/>
                <w:i w:val="0"/>
                <w:color w:val="17324D"/>
                <w:sz w:val="16"/>
              </w:rPr>
              <w:t>Practical authority</w:t>
            </w:r>
          </w:p>
        </w:tc>
        <w:tc>
          <w:tcPr>
            <w:tcW w:type="dxa" w:w="11050"/>
            <w:vAlign w:val="center"/>
            <w:tcMar>
              <w:top w:w="70" w:type="dxa"/>
              <w:start w:w="90" w:type="dxa"/>
              <w:bottom w:w="70" w:type="dxa"/>
              <w:end w:w="90" w:type="dxa"/>
            </w:tcMar>
          </w:tcPr>
          <w:p>
            <w:pPr>
              <w:spacing w:before="0" w:after="0" w:line="240" w:lineRule="auto"/>
            </w:pPr>
            <w:r>
              <w:rPr>
                <w:rFonts w:ascii="Calibri" w:hAnsi="Calibri"/>
                <w:b w:val="0"/>
                <w:i w:val="0"/>
                <w:color w:val="1A1A1A"/>
                <w:sz w:val="16"/>
              </w:rPr>
              <w:t>Approve both project packs and every testing method, equipment set, supervision and WHS control before use.</w:t>
            </w:r>
          </w:p>
        </w:tc>
      </w:tr>
      <w:tr>
        <w:trPr>
          <w:cantSplit/>
        </w:trPr>
        <w:tc>
          <w:tcPr>
            <w:tcW w:type="dxa" w:w="1250"/>
            <w:vAlign w:val="center"/>
            <w:tcMar>
              <w:top w:w="70" w:type="dxa"/>
              <w:start w:w="90" w:type="dxa"/>
              <w:bottom w:w="70" w:type="dxa"/>
              <w:end w:w="90" w:type="dxa"/>
            </w:tcMar>
          </w:tcPr>
          <w:p>
            <w:pPr>
              <w:spacing w:before="0" w:after="0" w:line="240" w:lineRule="auto"/>
            </w:pPr>
            <w:r>
              <w:rPr>
                <w:rFonts w:ascii="Calibri" w:hAnsi="Calibri"/>
                <w:b/>
                <w:i w:val="0"/>
                <w:color w:val="A43D3D"/>
                <w:sz w:val="16"/>
              </w:rPr>
              <w:t>TTC-05</w:t>
            </w:r>
          </w:p>
        </w:tc>
        <w:tc>
          <w:tcPr>
            <w:tcW w:type="dxa" w:w="2300"/>
            <w:vAlign w:val="center"/>
            <w:tcMar>
              <w:top w:w="70" w:type="dxa"/>
              <w:start w:w="90" w:type="dxa"/>
              <w:bottom w:w="70" w:type="dxa"/>
              <w:end w:w="90" w:type="dxa"/>
            </w:tcMar>
          </w:tcPr>
          <w:p>
            <w:pPr>
              <w:spacing w:before="0" w:after="0" w:line="240" w:lineRule="auto"/>
            </w:pPr>
            <w:r>
              <w:rPr>
                <w:rFonts w:ascii="Calibri" w:hAnsi="Calibri"/>
                <w:b/>
                <w:i w:val="0"/>
                <w:color w:val="17324D"/>
                <w:sz w:val="16"/>
              </w:rPr>
              <w:t>Assessment</w:t>
            </w:r>
          </w:p>
        </w:tc>
        <w:tc>
          <w:tcPr>
            <w:tcW w:type="dxa" w:w="11050"/>
            <w:vAlign w:val="center"/>
            <w:tcMar>
              <w:top w:w="70" w:type="dxa"/>
              <w:start w:w="90" w:type="dxa"/>
              <w:bottom w:w="70" w:type="dxa"/>
              <w:end w:w="90" w:type="dxa"/>
            </w:tcMar>
          </w:tcPr>
          <w:p>
            <w:pPr>
              <w:spacing w:before="0" w:after="0" w:line="240" w:lineRule="auto"/>
            </w:pPr>
            <w:r>
              <w:rPr>
                <w:rFonts w:ascii="Calibri" w:hAnsi="Calibri"/>
                <w:b w:val="0"/>
                <w:i w:val="0"/>
                <w:color w:val="1A1A1A"/>
                <w:sz w:val="16"/>
              </w:rPr>
              <w:t>Supply the current Textiles schedule and issue-ready notices; the 2026 Year 11 booklet omits this course.</w:t>
            </w:r>
          </w:p>
        </w:tc>
      </w:tr>
      <w:tr>
        <w:trPr>
          <w:cantSplit/>
        </w:trPr>
        <w:tc>
          <w:tcPr>
            <w:tcW w:type="dxa" w:w="1250"/>
            <w:vAlign w:val="center"/>
            <w:tcMar>
              <w:top w:w="70" w:type="dxa"/>
              <w:start w:w="90" w:type="dxa"/>
              <w:bottom w:w="70" w:type="dxa"/>
              <w:end w:w="90" w:type="dxa"/>
            </w:tcMar>
          </w:tcPr>
          <w:p>
            <w:pPr>
              <w:spacing w:before="0" w:after="0" w:line="240" w:lineRule="auto"/>
            </w:pPr>
            <w:r>
              <w:rPr>
                <w:rFonts w:ascii="Calibri" w:hAnsi="Calibri"/>
                <w:b/>
                <w:i w:val="0"/>
                <w:color w:val="A43D3D"/>
                <w:sz w:val="16"/>
              </w:rPr>
              <w:t>TTC-07</w:t>
            </w:r>
          </w:p>
        </w:tc>
        <w:tc>
          <w:tcPr>
            <w:tcW w:type="dxa" w:w="2300"/>
            <w:vAlign w:val="center"/>
            <w:tcMar>
              <w:top w:w="70" w:type="dxa"/>
              <w:start w:w="90" w:type="dxa"/>
              <w:bottom w:w="70" w:type="dxa"/>
              <w:end w:w="90" w:type="dxa"/>
            </w:tcMar>
          </w:tcPr>
          <w:p>
            <w:pPr>
              <w:spacing w:before="0" w:after="0" w:line="240" w:lineRule="auto"/>
            </w:pPr>
            <w:r>
              <w:rPr>
                <w:rFonts w:ascii="Calibri" w:hAnsi="Calibri"/>
                <w:b/>
                <w:i w:val="0"/>
                <w:color w:val="17324D"/>
                <w:sz w:val="16"/>
              </w:rPr>
              <w:t>Access and adjustments</w:t>
            </w:r>
          </w:p>
        </w:tc>
        <w:tc>
          <w:tcPr>
            <w:tcW w:type="dxa" w:w="11050"/>
            <w:vAlign w:val="center"/>
            <w:tcMar>
              <w:top w:w="70" w:type="dxa"/>
              <w:start w:w="90" w:type="dxa"/>
              <w:bottom w:w="70" w:type="dxa"/>
              <w:end w:w="90" w:type="dxa"/>
            </w:tcMar>
          </w:tcPr>
          <w:p>
            <w:pPr>
              <w:spacing w:before="0" w:after="0" w:line="240" w:lineRule="auto"/>
            </w:pPr>
            <w:r>
              <w:rPr>
                <w:rFonts w:ascii="Calibri" w:hAnsi="Calibri"/>
                <w:b w:val="0"/>
                <w:i w:val="0"/>
                <w:color w:val="1A1A1A"/>
                <w:sz w:val="16"/>
              </w:rPr>
              <w:t>Confirm current resources, copying permissions, student adjustments and access arrangements for this cohort.</w:t>
            </w:r>
          </w:p>
        </w:tc>
      </w:tr>
      <w:tr>
        <w:trPr>
          <w:cantSplit/>
        </w:trPr>
        <w:tc>
          <w:tcPr>
            <w:tcW w:type="dxa" w:w="1250"/>
            <w:vAlign w:val="center"/>
            <w:tcMar>
              <w:top w:w="70" w:type="dxa"/>
              <w:start w:w="90" w:type="dxa"/>
              <w:bottom w:w="70" w:type="dxa"/>
              <w:end w:w="90" w:type="dxa"/>
            </w:tcMar>
          </w:tcPr>
          <w:p>
            <w:pPr>
              <w:spacing w:before="0" w:after="0" w:line="240" w:lineRule="auto"/>
            </w:pPr>
            <w:r>
              <w:rPr>
                <w:rFonts w:ascii="Calibri" w:hAnsi="Calibri"/>
                <w:b/>
                <w:i w:val="0"/>
                <w:color w:val="A43D3D"/>
                <w:sz w:val="16"/>
              </w:rPr>
              <w:t>TTC-08</w:t>
            </w:r>
          </w:p>
        </w:tc>
        <w:tc>
          <w:tcPr>
            <w:tcW w:type="dxa" w:w="2300"/>
            <w:vAlign w:val="center"/>
            <w:tcMar>
              <w:top w:w="70" w:type="dxa"/>
              <w:start w:w="90" w:type="dxa"/>
              <w:bottom w:w="70" w:type="dxa"/>
              <w:end w:w="90" w:type="dxa"/>
            </w:tcMar>
          </w:tcPr>
          <w:p>
            <w:pPr>
              <w:spacing w:before="0" w:after="0" w:line="240" w:lineRule="auto"/>
            </w:pPr>
            <w:r>
              <w:rPr>
                <w:rFonts w:ascii="Calibri" w:hAnsi="Calibri"/>
                <w:b/>
                <w:i w:val="0"/>
                <w:color w:val="17324D"/>
                <w:sz w:val="16"/>
              </w:rPr>
              <w:t>Local approval</w:t>
            </w:r>
          </w:p>
        </w:tc>
        <w:tc>
          <w:tcPr>
            <w:tcW w:type="dxa" w:w="11050"/>
            <w:vAlign w:val="center"/>
            <w:tcMar>
              <w:top w:w="70" w:type="dxa"/>
              <w:start w:w="90" w:type="dxa"/>
              <w:bottom w:w="70" w:type="dxa"/>
              <w:end w:w="90" w:type="dxa"/>
            </w:tcMar>
          </w:tcPr>
          <w:p>
            <w:pPr>
              <w:spacing w:before="0" w:after="0" w:line="240" w:lineRule="auto"/>
            </w:pPr>
            <w:r>
              <w:rPr>
                <w:rFonts w:ascii="Calibri" w:hAnsi="Calibri"/>
                <w:b w:val="0"/>
                <w:i w:val="0"/>
                <w:color w:val="1A1A1A"/>
                <w:sz w:val="16"/>
              </w:rPr>
              <w:t>Approve this school-developed program and its local adaptations before implementation.</w:t>
            </w:r>
          </w:p>
        </w:tc>
      </w:tr>
    </w:tbl>
    <w:sectPr w:rsidR="00FC693F" w:rsidRPr="0006063C" w:rsidSect="00034616">
      <w:headerReference w:type="default" r:id="rId9"/>
      <w:footerReference w:type="default" r:id="rId10"/>
      <w:pgSz w:w="16838" w:h="11906" w:orient="landscape"/>
      <w:pgMar w:top="510" w:right="567" w:bottom="510" w:left="567"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b w:val="0"/>
        <w:i w:val="0"/>
        <w:color w:val="66717C"/>
        <w:sz w:val="16"/>
      </w:rPr>
      <w:t>Implementation version | Year 11 Preliminary Textiles and Design | 19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i w:val="0"/>
        <w:color w:val="66717C"/>
        <w:sz w:val="17"/>
      </w:rPr>
      <w:t>Scope and Sequence | Year 11 Preliminary Textiles and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A43D3D"/>
      <w:sz w:val="22"/>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Calibri" w:hAnsi="Calibri"/>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b/>
      <w:color w:val="1732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