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40"/>
          <w:szCs w:val="40"/>
        </w:rPr>
        <w:t xml:space="preserve">Stage 6 Textiles and Design</w:t>
      </w:r>
    </w:p>
    <w:p>
      <w:pPr>
        <w:keepNext/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263832"/>
          <w:sz w:val="22"/>
          <w:szCs w:val="22"/>
        </w:rPr>
        <w:t xml:space="preserve">120-period two-year master delivery register | v1.0</w:t>
      </w:r>
    </w:p>
    <w:p>
      <w:pPr>
        <w:spacing w:after="44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63832"/>
          <w:sz w:val="20"/>
          <w:szCs w:val="20"/>
        </w:rPr>
        <w:t xml:space="preserve">This register preserves the accepted Year 11 periods 1–60 and appends Year 12 as periods 61–120. Record local delivery variance without rewriting the canonical sequence.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Year 11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 periods 1–60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Year 12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periods 61–120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Planning basis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2027 only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Actual delivery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Year and timetable Teacher to confirm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Evidence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Brief confirmation only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Privacy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No student personal data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Preliminary periods 1–10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brief and requirements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Elements of design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of design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Applied design analysis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Focus areas and design types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affecting design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Inspiration and development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design direction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Manufacturing and pattern information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Manufacturing plan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Preliminary periods 11–20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technique sample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technique sample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Drawing and annotation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Audience, purpose and medium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Production communication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review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readiness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stage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stage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stage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Preliminary periods 21–30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completion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evaluation evidence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 classification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Molecular fibre structure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Morphological fibre structure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Fibre-to-end-use reasoning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Natural cellulosic fibres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Natural protein fibres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Manufactured fibres and blends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 selection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Preliminary periods 31–40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Staple-spun and filament yarns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Twist and spinning systems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Textured and novelty yarns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structure evidence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aesthetic and comfort properties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durability, strength and care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Structure-property relationships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end-use justification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Woven structures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Knitted structures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Preliminary periods 41–50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Non-woven structures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Fabric structure identification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and end use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Planning a fair textile test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Test plan and results structure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comparative textile test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Evidence-based Project 2 choice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2 manufacture - stage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2 manufacture - stage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2 completion and evaluation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Preliminary periods 51–60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development and sectors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Local and global context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Careers and training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Quality assurance and control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Roles and value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quality/value case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retrieval and response planning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retrieval and response planning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Course synthesis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 and course review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HSC periods 61–70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Course map and two-year bridge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focus areas and evidence boundary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From inspiration to a workable brief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Concept checkpoint and next actions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Tracing one focus area over time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shaping design change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Turning evidence into analysis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influence translated, not copied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 practice, inspiration and signature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Internal and external success factors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HSC periods 71–80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Designers and trends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Contemporary influence and concept refinement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Colour principles for specific end use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Printing and dyeing processes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Planning controlled colouration evidence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colour sample and decision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Applique, embroidery and surface decoration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Hand and machine technique decisions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decoration sampling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Comparing samples and selecting a method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HSC periods 81–90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context and respectful evidence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Meanings, resources, skills and processes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Influence without appropriation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evidence checkpoint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Generating ideas and selecting a direction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analysis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Drawings and manufacturing specifications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Time, resources and decision management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Building a fair and useful investigation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Recording samples, observations and results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HSC periods 91–100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and justified design change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portfolio checkpoint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definitions, needs and drivers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Emerging fibres, yarns and fabrics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Product, process and societal impacts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decision for the MTP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Microfibres, bicomponent yarns and washable webs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Retrieving structure-property relationships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Selecting performance for end use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material evidence checkpoint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HSC periods 101–110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Machinery and production technologies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Seamless technology and construction change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Decorative enhancement, efficiency and quality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Production technology decision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Defining end-use requirements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Finishes, performance and care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Fibre, yarn and fabric justification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under command terms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sectors and supply relationships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Marketplace, product development and marketing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HSC periods 111–120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Workplace, consumer and global links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product communication and label planning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Appropriate textile technology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Sustainability across a product life cycle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Social, consumer and industry issues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sustainability and resource evaluation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completion and evidence handoff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Command terms and response planning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and misconception repair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120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· 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and whole-course synthesis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454" w:right="510" w:bottom="454" w:left="51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263832"/>
        <w:sz w:val="17"/>
        <w:szCs w:val="17"/>
      </w:rPr>
      <w:t xml:space="preserve">Two-year local working record | Page </w:t>
    </w:r>
    <w:r>
      <w:rPr>
        <w:rFonts w:ascii="Aptos" w:cs="Aptos" w:eastAsia="Aptos" w:hAnsi="Aptos"/>
        <w:color w:val="26383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ptos" w:cs="Aptos" w:eastAsia="Aptos" w:hAnsi="Aptos"/>
        <w:b/>
        <w:bCs/>
        <w:i w:val="false"/>
        <w:iCs w:val="false"/>
        <w:color w:val="155A46"/>
        <w:sz w:val="18"/>
        <w:szCs w:val="18"/>
      </w:rPr>
      <w:t xml:space="preserve">STAGE 6 TEXTILES AND DESIGN | MASTER DELIVERY REGISTER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832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6 Textiles and Design | Master delivery register | v1.0</dc:title>
  <dc:subject>Stage 6 Textiles and Design teaching programme</dc:subject>
  <dc:creator>WWHS Textiles and Design local course build</dc:creator>
  <cp:keywords>Textiles and Design, Stage 6, HSC, programme, Major Textiles Project</cp:keywords>
  <dc:description>Editable 120-period master delivery register with distinct Preliminary and HSC boundaries.</dc:description>
  <cp:lastModifiedBy>Un-named</cp:lastModifiedBy>
  <cp:revision>1</cp:revision>
  <dcterms:created xsi:type="dcterms:W3CDTF">2026-08-30T11:08:51.100Z</dcterms:created>
  <dcterms:modified xsi:type="dcterms:W3CDTF">2026-08-30T11:08:51.100Z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