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40"/>
          <w:szCs w:val="40"/>
        </w:rPr>
        <w:t xml:space="preserve">Year 12 HSC Textiles and Design</w:t>
      </w:r>
    </w:p>
    <w:p>
      <w:pPr>
        <w:keepNext/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263832"/>
          <w:sz w:val="22"/>
          <w:szCs w:val="22"/>
        </w:rPr>
        <w:t xml:space="preserve">60-period delivery register | v1.0</w:t>
      </w:r>
    </w:p>
    <w:p>
      <w:pPr>
        <w:spacing w:after="44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63832"/>
          <w:sz w:val="20"/>
          <w:szCs w:val="20"/>
        </w:rPr>
        <w:t xml:space="preserve">Record actual delivery only after local timetable conversion. Keep student personal data in approved school systems, not in this shared register.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Planning basis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2027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Actual delivery year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to confirm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Programme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60 × 120-minute equivalent periods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Timetable conversion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Teacher to confirm</w:t>
            </w:r>
          </w:p>
        </w:tc>
      </w:tr>
      <w:tr>
        <w:trPr>
          <w:cantSplit/>
        </w:trPr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Evidence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Brief confirmation only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3EE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63832"/>
                <w:sz w:val="20"/>
                <w:szCs w:val="20"/>
              </w:rPr>
              <w:t xml:space="preserve">Formal tasks</w:t>
            </w:r>
          </w:p>
        </w:tc>
        <w:tc>
          <w:tcPr>
            <w:tcW w:type="pct" w:w="3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Current notifications control</w:t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Register periods 1–10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Course map and two-year bridge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focus areas and evidence boundary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From inspiration to a workable brief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Concept checkpoint and next actions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Tracing one focus area over time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Factors shaping design change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Turning evidence into analysis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Historical influence translated, not copied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 practice, inspiration and signature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Internal and external success factors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Register periods 11–20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Designers and trends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Contemporary influence and concept refinement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Colour principles for specific end use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Printing and dyeing processes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Planning controlled colouration evidence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colour sample and decision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Applique, embroidery and surface decoration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Hand and machine technique decisions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19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Authorised decoration sampling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Comparing samples and selecting a method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Register periods 21–30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context and respectful evidence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Meanings, resources, skills and processes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Influence without appropriation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Cultural evidence checkpoint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Generating ideas and selecting a direction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Functional and aesthetic analysis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Drawings and manufacturing specifications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Time, resources and decision management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29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Building a fair and useful investigation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Recording samples, observations and results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Register periods 31–40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Evaluation and justified design change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1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Experimentation portfolio checkpoint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definitions, needs and drivers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Emerging fibres, yarns and fabrics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Product, process and societal impacts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Innovation decision for the MTP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Microfibres, bicomponent yarns and washable webs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Retrieving structure-property relationships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39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Selecting performance for end use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material evidence checkpoint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Register periods 41–50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Machinery and production technologies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Seamless technology and construction change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Practical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Decorative enhancement, efficiency and quality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Production technology decision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Defining end-use requirements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Finishes, performance and care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Fibre, yarn and fabric justification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under command terms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49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sectors and supply relationships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Marketplace, product development and marketing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spacing w:after="36" w:before="0"/>
      </w:pPr>
      <w:r>
        <w:rPr>
          <w:rFonts w:ascii="Aptos Display" w:cs="Aptos Display" w:eastAsia="Aptos Display" w:hAnsi="Aptos Display"/>
          <w:b/>
          <w:bCs/>
          <w:i w:val="false"/>
          <w:iCs w:val="false"/>
          <w:color w:val="155A46"/>
          <w:sz w:val="26"/>
          <w:szCs w:val="26"/>
        </w:rPr>
        <w:t xml:space="preserve">Register periods 51–60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/ term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Planned focus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 taught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/ variance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checked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55A4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Follow-up / initials</w:t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51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Workplace, consumer and global links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52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product communication and label planning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53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Appropriate textile technology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54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Sustainability across a product life cycle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55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Social, consumer and industry issues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56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sustainability and resource evaluation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57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Project/folio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MTP completion and evidence handoff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58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Command terms and response planning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59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Properties synthesis and misconception repair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60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Term 3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Site/theory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>Industry and whole-course synthesis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8F6" w:color="auto"/>
            <w:tcMar>
              <w:top w:type="dxa" w:w="42"/>
              <w:left w:type="dxa" w:w="55"/>
              <w:bottom w:type="dxa" w:w="42"/>
              <w:right w:type="dxa" w:w="55"/>
            </w:tcMar>
            <w:vAlign w:val="center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26383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454" w:right="510" w:bottom="454" w:left="51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263832"/>
        <w:sz w:val="17"/>
        <w:szCs w:val="17"/>
      </w:rPr>
      <w:t xml:space="preserve">Local working record | Page </w:t>
    </w:r>
    <w:r>
      <w:rPr>
        <w:rFonts w:ascii="Aptos" w:cs="Aptos" w:eastAsia="Aptos" w:hAnsi="Aptos"/>
        <w:color w:val="26383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ptos" w:cs="Aptos" w:eastAsia="Aptos" w:hAnsi="Aptos"/>
        <w:b/>
        <w:bCs/>
        <w:i w:val="false"/>
        <w:iCs w:val="false"/>
        <w:color w:val="155A46"/>
        <w:sz w:val="18"/>
        <w:szCs w:val="18"/>
      </w:rPr>
      <w:t xml:space="preserve">YEAR 12 HSC TEXTILES AND DESIGN | DELIVERY REGISTER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832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HSC Textiles and Design | Delivery register | v1.0</dc:title>
  <dc:subject>Stage 6 Textiles and Design teaching programme</dc:subject>
  <dc:creator>WWHS Textiles and Design local course build</dc:creator>
  <cp:keywords>Textiles and Design, Stage 6, HSC, programme, Major Textiles Project</cp:keywords>
  <dc:description>Editable 60-period delivery register aligned to the Year 12 programme.</dc:description>
  <cp:lastModifiedBy>Un-named</cp:lastModifiedBy>
  <cp:revision>1</cp:revision>
  <dcterms:created xsi:type="dcterms:W3CDTF">2026-08-30T11:08:50.984Z</dcterms:created>
  <dcterms:modified xsi:type="dcterms:W3CDTF">2026-08-30T11:08:50.984Z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