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Year 7 Multimedia delivery register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20-LESSON FRAME · FORMATIVE EVIDENCE 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tblHeader w:val="true"/>
        </w:trPr>
        <w:tc>
          <w:tcPr>
            <w:tcW w:type="dxa" w:w="72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266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focus / sections</w:t>
            </w:r>
          </w:p>
        </w:tc>
        <w:tc>
          <w:tcPr>
            <w:tcW w:type="dxa" w:w="324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Presentation / source / activity</w:t>
            </w:r>
          </w:p>
        </w:tc>
        <w:tc>
          <w:tcPr>
            <w:tcW w:type="dxa" w:w="3168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evidence / outcomes</w:t>
            </w:r>
          </w:p>
        </w:tc>
        <w:tc>
          <w:tcPr>
            <w:tcW w:type="dxa" w:w="122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Date / initials</w:t>
            </w:r>
          </w:p>
        </w:tc>
        <w:tc>
          <w:tcPr>
            <w:tcW w:type="dxa" w:w="453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Delivery variance · evidence checked · adjustments · follow-up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Brief, purpose and audience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m01-s01, m01-s02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module-01-the-design-challenge.pptx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audience-research-workspace, design-brief-loop, audience-needs-map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act-m01-brief-audience-cards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Brief separates confirmed requirements, student choices and one unsupported assumption.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brief-audience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2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Originality, responsible AI and brief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m01-s03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Project/folio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module-01-the-design-challenge.pptx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responsible-ai-filter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act-m01-originality-trail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Student contribution, checking, attribution and privacy boundary are visible.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brief-audience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3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Colour roles, contrast and typography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m02-s01, m02-s02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module-02-visual-language.pptx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colour-meaning-context, typography-tone-comparison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act-m02-palette-purpose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Palette and typography decisions name purpose, audience and a readable contrast check.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TE4-DES-01,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visual-direction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4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Hierarchy, layout and visual direction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m02-s03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Project/folio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module-02-visual-language.pptx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moodboard-workspace, visual-hierarchy-eye-path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act-m02-type-hierarchy, act-course-vocabulary-clue-grid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Visual direction is coherent and success criteria are observable rather than based only on taste.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visual-direction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5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Symbols, recognition and logo stress testing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m03-s01, m03-s02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module-03-logo-systems.pptx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logo-simplicity-test, logo-scale-test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act-m03-logo-stress-test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Logo remains recognisable in small, large, one-colour and contrasting-background tests.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TE4-DES-01, TE4-SAF-01,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logo-system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</w:tbl>
    <w:p>
      <w:pPr>
        <w:spacing w:before="80" w:after="0" w:line="240" w:lineRule="auto"/>
      </w:pPr>
      <w:r>
        <w:rPr>
          <w:color w:val="52656D"/>
          <w:sz w:val="13"/>
        </w:rPr>
        <w:t>Teacher to confirm: actual timetable; formal assessment notice and submission route; Google Sites access; service licences; approved outcome sign-off. Record delivery changes without overstating browser-local work as submission evidence.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Delivery register · periods 6–10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20-LESSON FRAME · FORMATIVE EVIDENCE 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tblHeader w:val="true"/>
        </w:trPr>
        <w:tc>
          <w:tcPr>
            <w:tcW w:type="dxa" w:w="72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266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focus / sections</w:t>
            </w:r>
          </w:p>
        </w:tc>
        <w:tc>
          <w:tcPr>
            <w:tcW w:type="dxa" w:w="324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Presentation / source / activity</w:t>
            </w:r>
          </w:p>
        </w:tc>
        <w:tc>
          <w:tcPr>
            <w:tcW w:type="dxa" w:w="3168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evidence / outcomes</w:t>
            </w:r>
          </w:p>
        </w:tc>
        <w:tc>
          <w:tcPr>
            <w:tcW w:type="dxa" w:w="122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Date / initials</w:t>
            </w:r>
          </w:p>
        </w:tc>
        <w:tc>
          <w:tcPr>
            <w:tcW w:type="dxa" w:w="453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Delivery variance · evidence checked · adjustments · follow-up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6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Canva logo workflow, variants and critique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m03-s03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Practical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module-03-logo-systems.pptx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logo-variant-system, logo-canva-demo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act-m03-critique-sort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Selected logo and rationale show an original decision, a scale/contrast check and a justified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TE4-SAF-01,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logo-system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7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Menu structure, grouping and scan paths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m04-s01, m04-s02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module-04-menu-information-design.pptx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canteen-menu-source, menu-information-architecture, menu-scan-alignment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act-m04-menu-scan-map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Menu structure uses labelled groups, predictable alignment and a reader finding 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menu-ethics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8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Honest product information and menu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m04-s03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Project/folio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module-04-menu-information-design.pptx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act-m04-honest-information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Student menu evidence is original and does not copy historical products, prices or unsupported benefits.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menu-ethics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9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Poster composition and focal path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m05-s01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module-05-promotional-poster.pptx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poster-source-original, poster-layout-focal-point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act-m05-focal-path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Poster plan names what viewers should notice first, next and last, with a reason for each choice.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TE4-DES-01,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poster-context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10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Poster production, clean edges and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m05-s02, m05-s03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Practical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module-05-promotional-poster.pptx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poster-table-mockup-source, poster-outdoor-mockup-source, poster-street-mockup-source, background-removal-edge-check, poster-canva-demo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act-m05-cutout-context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Poster export has clean image edges, readable hierarchy, an honest action and one context-driven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TE4-SAF-01,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poster-context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</w:tbl>
    <w:p>
      <w:pPr>
        <w:spacing w:before="80" w:after="0" w:line="240" w:lineRule="auto"/>
      </w:pPr>
      <w:r>
        <w:rPr>
          <w:color w:val="52656D"/>
          <w:sz w:val="13"/>
        </w:rPr>
        <w:t>Teacher to confirm: actual timetable; formal assessment notice and submission route; Google Sites access; service licences; approved outcome sign-off. Record delivery changes without overstating browser-local work as submission evidence.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Delivery register · periods 11–15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20-LESSON FRAME · FORMATIVE EVIDENCE 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tblHeader w:val="true"/>
        </w:trPr>
        <w:tc>
          <w:tcPr>
            <w:tcW w:type="dxa" w:w="72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266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focus / sections</w:t>
            </w:r>
          </w:p>
        </w:tc>
        <w:tc>
          <w:tcPr>
            <w:tcW w:type="dxa" w:w="324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Presentation / source / activity</w:t>
            </w:r>
          </w:p>
        </w:tc>
        <w:tc>
          <w:tcPr>
            <w:tcW w:type="dxa" w:w="3168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evidence / outcomes</w:t>
            </w:r>
          </w:p>
        </w:tc>
        <w:tc>
          <w:tcPr>
            <w:tcW w:type="dxa" w:w="122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Date / initials</w:t>
            </w:r>
          </w:p>
        </w:tc>
        <w:tc>
          <w:tcPr>
            <w:tcW w:type="dxa" w:w="453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Delivery variance · evidence checked · adjustments · follow-up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11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Consistent identity across touchpoints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m06-s01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module-06-brand-applications.pptx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brand-touchpoints, brand-consistency-system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act-m06-brand-application-check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Student can distinguish deliberate consistency from copying one layout unchanged.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TE4-DES-01,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uniform-application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12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Staff-uniform concept, suitability and accessibility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m06-s02, m06-s03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Practical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module-06-brand-applications.pptx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uniform-system, accessibility-contrast-check, staff-uniform-canva-demo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act-m06-brand-application-check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Uniform concept retains brand recognition and explains suitability, accessibility and one tested change.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TE4-SAF-01,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uniform-application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13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Motion states and Match and Move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m07-s01, m07-s02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module-07-motion-advertising.pptx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motion-state-sequence, match-move-continuity, match-and-move-demo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act-m07-state-sequence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Storyboard names the complete starting and ending states and the element properties changed between them.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TE4-PPM-01, TE4-DES-01, TE4-SAF-01, TE4-DIG-01,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motion-advertisement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14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Timing, MP4 export and evidence-quality 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m07-s03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Practical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module-07-motion-advertising.pptx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export-quality-check, match-and-move-advertising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act-m07-export-inspection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Reopened MP4 is checked for timing, hierarchy, crop, spelling and ending; a still and filename are not treated as submission proof.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TE4-PPM-01, TE4-DES-01, TE4-SAF-01, TE4-DIG-01,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motion-advertisement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15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Persuasion, target groups and greenwashing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m08-s01, m08-s02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module-08-ethical-marketing-systems.pptx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persuasion-evidence-ladder, greenwashing-claim-check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act-m08-claim-check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Student identifies what a claim says, what evidence exists and how wording should be limited.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TE4-SDP-01, TE4-PDP-01,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menu-ethics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</w:tbl>
    <w:p>
      <w:pPr>
        <w:spacing w:before="80" w:after="0" w:line="240" w:lineRule="auto"/>
      </w:pPr>
      <w:r>
        <w:rPr>
          <w:color w:val="52656D"/>
          <w:sz w:val="13"/>
        </w:rPr>
        <w:t>Teacher to confirm: actual timetable; formal assessment notice and submission route; Google Sites access; service licences; approved outcome sign-off. Record delivery changes without overstating browser-local work as submission evidence.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Delivery register · periods 16–20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20-LESSON FRAME · FORMATIVE EVIDENCE 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tblHeader w:val="true"/>
        </w:trPr>
        <w:tc>
          <w:tcPr>
            <w:tcW w:type="dxa" w:w="72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Period</w:t>
            </w:r>
          </w:p>
        </w:tc>
        <w:tc>
          <w:tcPr>
            <w:tcW w:type="dxa" w:w="266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focus / sections</w:t>
            </w:r>
          </w:p>
        </w:tc>
        <w:tc>
          <w:tcPr>
            <w:tcW w:type="dxa" w:w="324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Presentation / source / activity</w:t>
            </w:r>
          </w:p>
        </w:tc>
        <w:tc>
          <w:tcPr>
            <w:tcW w:type="dxa" w:w="3168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Planned evidence / outcomes</w:t>
            </w:r>
          </w:p>
        </w:tc>
        <w:tc>
          <w:tcPr>
            <w:tcW w:type="dxa" w:w="122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Date / initials</w:t>
            </w:r>
          </w:p>
        </w:tc>
        <w:tc>
          <w:tcPr>
            <w:tcW w:type="dxa" w:w="453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Delivery variance · evidence checked · adjustments · follow-up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16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Business ripple effects and designer responsibility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m08-s03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Project/folio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module-08-ethical-marketing-systems.pptx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systems-ripple-effect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act-m08-ripple-chain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Ripple chain makes uncertainty visible and ends with a realistic, responsible designer action.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TE4-SDP-01, TE4-PDP-01, TE4-PPM-01,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menu-ethics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17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Web portfolio structure and prepared media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m09-s01, m09-s02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module-09-web-portfolio.pptx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site-structure-map, google-sites-demo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act-m09-site-preflight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Site structure is predictable and media preparation includes alt text, privacy and access considerations.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TE4-PPM-01, TE4-DES-01, TE4-SAF-01, TE4-DIG-01,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web-evaluation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18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Publication, access and teacher-viewable link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m09-s03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Practical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module-09-web-portfolio.pptx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publish-access-check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act-m09-site-preflight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Link works for the intended viewer without exposing edit access, personal details or unapproved public sharing.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TE4-PPM-01, TE4-DES-01, TE4-SAF-01, TE4-DIG-01, TE4-DIG-02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web-evaluation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19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Success criteria, feedback and design rationale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m10-s01, m10-s02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Site/theory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module-10-present-evaluate-improve.pptx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peer-critique, feedback-iteration-cycle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act-m10-feedback-rationale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Rationale connects audience, purpose, criterion, observed evidence, judgement and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TE4-PDP-01, TE4-PPM-01,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web-evaluation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20</w:t>
            </w:r>
          </w:p>
        </w:tc>
        <w:tc>
          <w:tcPr>
            <w:tcW w:type="dxa" w:w="26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Focus: </w:t>
            </w:r>
            <w:r>
              <w:rPr>
                <w:color w:val="102A35"/>
                <w:sz w:val="13"/>
              </w:rPr>
              <w:t>Evaluation, next iteration and final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Sections: </w:t>
            </w:r>
            <w:r>
              <w:rPr>
                <w:color w:val="102A35"/>
                <w:sz w:val="13"/>
              </w:rPr>
              <w:t>m10-s03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Type: </w:t>
            </w:r>
            <w:r>
              <w:rPr>
                <w:color w:val="102A35"/>
                <w:sz w:val="13"/>
              </w:rPr>
              <w:t>Project/folio</w:t>
            </w:r>
          </w:p>
        </w:tc>
        <w:tc>
          <w:tcPr>
            <w:tcW w:type="dxa" w:w="324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module-10-present-evaluate-improve.pptx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evaluation-evidence-structure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act-m10-next-iteration</w:t>
            </w:r>
          </w:p>
        </w:tc>
        <w:tc>
          <w:tcPr>
            <w:tcW w:type="dxa" w:w="316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Evidence: </w:t>
            </w:r>
            <w:r>
              <w:rPr>
                <w:color w:val="102A35"/>
                <w:sz w:val="13"/>
              </w:rPr>
              <w:t>Evaluation uses specific evidence, identifies a limitation and proposes one testable next iteration without claiming formal submission.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Outcomes: </w:t>
            </w:r>
            <w:r>
              <w:rPr>
                <w:color w:val="102A35"/>
                <w:sz w:val="13"/>
              </w:rPr>
              <w:t>TE4-SDP-01, TE4-PDP-01, TE4-PPM-01, TE4-DES-01, TE4-DIG-01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web-evaluation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Date: </w:t>
            </w:r>
            <w:r>
              <w:rPr>
                <w:color w:val="102A35"/>
                <w:sz w:val="13"/>
              </w:rPr>
              <w:t>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Initials: </w:t>
            </w:r>
            <w:r>
              <w:rPr>
                <w:color w:val="102A35"/>
                <w:sz w:val="13"/>
              </w:rPr>
              <w:t>________</w:t>
            </w:r>
          </w:p>
        </w:tc>
        <w:tc>
          <w:tcPr>
            <w:tcW w:type="dxa" w:w="453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Variance: </w:t>
            </w:r>
            <w:r>
              <w:rPr>
                <w:color w:val="102A35"/>
                <w:sz w:val="13"/>
              </w:rPr>
              <w:t>________________________________________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Evidence checked: </w:t>
            </w:r>
            <w:r>
              <w:rPr>
                <w:color w:val="102A35"/>
                <w:sz w:val="13"/>
              </w:rPr>
              <w:t>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Adjustments: </w:t>
            </w:r>
            <w:r>
              <w:rPr>
                <w:color w:val="102A35"/>
                <w:sz w:val="13"/>
              </w:rPr>
              <w:t>______________________________________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Follow-up: </w:t>
            </w:r>
            <w:r>
              <w:rPr>
                <w:color w:val="102A35"/>
                <w:sz w:val="13"/>
              </w:rPr>
              <w:t>________________________________________</w:t>
            </w:r>
          </w:p>
        </w:tc>
      </w:tr>
    </w:tbl>
    <w:p>
      <w:pPr>
        <w:spacing w:before="80" w:after="0" w:line="240" w:lineRule="auto"/>
      </w:pPr>
      <w:r>
        <w:rPr>
          <w:color w:val="52656D"/>
          <w:sz w:val="13"/>
        </w:rPr>
        <w:t>Teacher to confirm: actual timetable; formal assessment notice and submission route; Google Sites access; service licences; approved outcome sign-off. Record delivery changes without overstating browser-local work as submission evidence.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10" w:bottom="510" w:left="510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56D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812"/>
      <w:gridCol w:w="7812"/>
    </w:tblGrid>
    <w:tr>
      <w:trPr>
        <w:tblHeader w:val="true"/>
      </w:trPr>
      <w:tc>
        <w:tcPr>
          <w:tcW w:type="dxa" w:w="7812"/>
          <w:shd w:fill="07564F"/>
        </w:tcPr>
        <w:p>
          <w:pPr>
            <w:spacing w:before="0" w:after="0" w:line="240" w:lineRule="auto"/>
          </w:pPr>
          <w:r>
            <w:rPr>
              <w:b/>
              <w:color w:val="FFFFFF"/>
              <w:sz w:val="17"/>
            </w:rPr>
            <w:t>M7  |  YEAR 7 TECHNOLOGY — MULTIMEDIA</w:t>
          </w:r>
        </w:p>
      </w:tc>
      <w:tc>
        <w:tcPr>
          <w:tcW w:type="dxa" w:w="7812"/>
          <w:shd w:fill="07564F"/>
        </w:tcPr>
        <w:p>
          <w:pPr>
            <w:spacing w:before="0" w:after="0" w:line="240" w:lineRule="auto"/>
            <w:jc w:val="right"/>
          </w:pPr>
          <w:r>
            <w:rPr>
              <w:b/>
              <w:color w:val="FFFFFF"/>
              <w:sz w:val="16"/>
            </w:rPr>
            <w:t>FAST FOOD FUTURES  ·  LOCAL PROGRAM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5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75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564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7 Multimedia Delivery Register v1.0</dc:title>
  <dc:subject>Editable delivery and evidence register</dc:subject>
  <dc:creator>Year 7 Technology faculty</dc:creator>
  <cp:keywords>Technology 7-8, Multimedia, Digital and communication technologies, teaching program</cp:keywords>
  <dc:description>School-developed, NESA-aligned local planning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