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18"/>
      </w:tblGrid>
      <w:tr>
        <w:trPr>
          <w:tblHeader w:val="true"/>
        </w:trPr>
        <w:tc>
          <w:tcPr>
            <w:tcW w:type="dxa" w:w="15818"/>
            <w:shd w:fill="07564F"/>
            <w:tcMar>
              <w:top w:w="160" w:type="dxa"/>
              <w:start w:w="180" w:type="dxa"/>
              <w:bottom w:w="145" w:type="dxa"/>
              <w:end w:w="180" w:type="dxa"/>
            </w:tcMar>
          </w:tcPr>
          <w:p>
            <w:pPr>
              <w:spacing w:before="0" w:after="40" w:line="240" w:lineRule="auto"/>
            </w:pPr>
            <w:r>
              <w:rPr>
                <w:b/>
                <w:color w:val="F2C14E"/>
                <w:sz w:val="16"/>
              </w:rPr>
              <w:t>TECHNOLOGY 7–8 · DIGITAL AND COMMUNICATION TECHNOLOGIES</w:t>
            </w:r>
          </w:p>
          <w:p>
            <w:pPr>
              <w:spacing w:before="0" w:after="40" w:line="240" w:lineRule="auto"/>
            </w:pPr>
            <w:r>
              <w:rPr>
                <w:rFonts w:ascii="Aptos Display" w:hAnsi="Aptos Display"/>
                <w:b/>
                <w:color w:val="FFFFFF"/>
                <w:sz w:val="48"/>
              </w:rPr>
              <w:t>Year 7 Multimedia — Fast Food Futures</w:t>
            </w:r>
          </w:p>
          <w:p>
            <w:pPr>
              <w:spacing w:before="0" w:after="0" w:line="240" w:lineRule="auto"/>
            </w:pPr>
            <w:r>
              <w:rPr>
                <w:color w:val="FFFFFF"/>
                <w:sz w:val="19"/>
              </w:rPr>
              <w:t>Source-first teaching program · provisional 20-lesson frame · version 1.0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blHeader w:val="true"/>
        </w:trPr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Course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Year 7 Technology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Unit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Multimedia — Fast Food Futures</w:t>
            </w:r>
          </w:p>
        </w:tc>
      </w:tr>
      <w:tr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Cohort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Year 7 / Stage 4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Focus area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Digital and communication technologies</w:t>
            </w:r>
          </w:p>
        </w:tc>
      </w:tr>
      <w:tr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Syllabus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Technology 7–8 Syllabus (2023)</w:t>
            </w:r>
          </w:p>
        </w:tc>
        <w:tc>
          <w:tcPr>
            <w:tcW w:type="dxa" w:w="1655"/>
            <w:tcMar>
              <w:top w:w="70" w:type="dxa"/>
              <w:start w:w="80" w:type="dxa"/>
              <w:bottom w:w="70" w:type="dxa"/>
              <w:end w:w="80" w:type="dxa"/>
            </w:tcMar>
            <w:shd w:fill="EEF7F5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4"/>
              </w:rPr>
              <w:t>Planning frame</w:t>
            </w:r>
          </w:p>
        </w:tc>
        <w:tc>
          <w:tcPr>
            <w:tcW w:type="dxa" w:w="61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4"/>
              </w:rPr>
              <w:t>Provisional 20-lesson planning frame, two lessons per module; exact unit length, period duration and timetable are Teacher to confirm.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EEF7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Unit intent: </w:t>
            </w:r>
            <w:r>
              <w:rPr>
                <w:color w:val="102A35"/>
                <w:sz w:val="15"/>
              </w:rPr>
              <w:t>Students create an original fast-food brand, communicate it through image, motion and web design, then explain and evaluate the decisions that make the connected solution work.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5"/>
              </w:rPr>
              <w:t xml:space="preserve">Source order: </w:t>
            </w:r>
            <w:r>
              <w:rPr>
                <w:color w:val="102A35"/>
                <w:sz w:val="15"/>
              </w:rPr>
              <w:t>Current authorised Drive masters first; current NESA syllabus controls curriculum identity; course-created visuals explain gaps without replacing the sources.</w:t>
            </w:r>
          </w:p>
        </w:tc>
        <w:tc>
          <w:tcPr>
            <w:tcW w:type="dxa" w:w="7909"/>
            <w:shd w:fill="FFF8DC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Status: </w:t>
            </w:r>
            <w:r>
              <w:rPr>
                <w:color w:val="102A35"/>
                <w:sz w:val="15"/>
              </w:rPr>
              <w:t>Provisional planning frame — exact timetable and local rotation relationship are Teacher to confirm.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5"/>
              </w:rPr>
              <w:t xml:space="preserve">Assessment: </w:t>
            </w:r>
            <w:r>
              <w:rPr>
                <w:color w:val="102A35"/>
                <w:sz w:val="15"/>
              </w:rPr>
              <w:t>Formative evidence guide - not a formal task notification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5"/>
              </w:rPr>
              <w:t xml:space="preserve">Privacy: </w:t>
            </w:r>
            <w:r>
              <w:rPr>
                <w:color w:val="102A35"/>
                <w:sz w:val="15"/>
              </w:rPr>
              <w:t>Response spreadsheet, student identities, submissions, marks and analytics are excluded.</w:t>
            </w:r>
          </w:p>
        </w:tc>
      </w:tr>
    </w:tbl>
    <w:p>
      <w:pPr>
        <w:pStyle w:val="Heading2"/>
        <w:spacing w:before="100" w:after="80" w:line="240" w:lineRule="auto"/>
      </w:pPr>
      <w:r>
        <w:t>Selected current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18"/>
      </w:tblGrid>
      <w:tr>
        <w:trPr>
          <w:tblHeader w:val="true"/>
        </w:trPr>
        <w:tc>
          <w:tcPr>
            <w:tcW w:type="dxa" w:w="1555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5"/>
              </w:rPr>
              <w:t>Outcome and exact wording</w:t>
            </w:r>
          </w:p>
        </w:tc>
      </w:tr>
      <w:tr>
        <w:trPr>
          <w:cantSplit/>
        </w:trPr>
        <w:tc>
          <w:tcPr>
            <w:tcW w:type="dxa" w:w="15552"/>
            <w:shd w:fill="EEF7F5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TE4-SDP-01: </w:t>
            </w:r>
            <w:r>
              <w:rPr>
                <w:color w:val="102A35"/>
                <w:sz w:val="15"/>
              </w:rPr>
              <w:t>explains relationships between sustainability, design and production</w:t>
            </w:r>
          </w:p>
        </w:tc>
      </w:tr>
      <w:tr>
        <w:trPr>
          <w:cantSplit/>
        </w:trPr>
        <w:tc>
          <w:tcPr>
            <w:tcW w:type="dxa" w:w="15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TE4-PDP-01: </w:t>
            </w:r>
            <w:r>
              <w:rPr>
                <w:color w:val="102A35"/>
                <w:sz w:val="15"/>
              </w:rPr>
              <w:t>describes the practices and processes of designers and producers</w:t>
            </w:r>
          </w:p>
        </w:tc>
      </w:tr>
      <w:tr>
        <w:trPr>
          <w:cantSplit/>
        </w:trPr>
        <w:tc>
          <w:tcPr>
            <w:tcW w:type="dxa" w:w="15552"/>
            <w:shd w:fill="EEF7F5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TE4-PPM-01: </w:t>
            </w:r>
            <w:r>
              <w:rPr>
                <w:color w:val="102A35"/>
                <w:sz w:val="15"/>
              </w:rPr>
              <w:t>applies processes in the planning, management and production of projects</w:t>
            </w:r>
          </w:p>
        </w:tc>
      </w:tr>
      <w:tr>
        <w:trPr>
          <w:cantSplit/>
        </w:trPr>
        <w:tc>
          <w:tcPr>
            <w:tcW w:type="dxa" w:w="15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TE4-DES-01: </w:t>
            </w:r>
            <w:r>
              <w:rPr>
                <w:color w:val="102A35"/>
                <w:sz w:val="15"/>
              </w:rPr>
              <w:t>communicates and evaluates design ideas and solutions</w:t>
            </w:r>
          </w:p>
        </w:tc>
      </w:tr>
      <w:tr>
        <w:trPr>
          <w:cantSplit/>
        </w:trPr>
        <w:tc>
          <w:tcPr>
            <w:tcW w:type="dxa" w:w="15552"/>
            <w:shd w:fill="EEF7F5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TE4-SAF-01: </w:t>
            </w:r>
            <w:r>
              <w:rPr>
                <w:color w:val="102A35"/>
                <w:sz w:val="15"/>
              </w:rPr>
              <w:t>selects and safely uses tools, materials, technologies and processes</w:t>
            </w:r>
          </w:p>
        </w:tc>
      </w:tr>
      <w:tr>
        <w:trPr>
          <w:cantSplit/>
        </w:trPr>
        <w:tc>
          <w:tcPr>
            <w:tcW w:type="dxa" w:w="15552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TE4-DIG-01: </w:t>
            </w:r>
            <w:r>
              <w:rPr>
                <w:color w:val="102A35"/>
                <w:sz w:val="15"/>
              </w:rPr>
              <w:t>demonstrates technological literacy to safely interact in digital environments</w:t>
            </w:r>
          </w:p>
        </w:tc>
      </w:tr>
      <w:tr>
        <w:trPr>
          <w:cantSplit/>
        </w:trPr>
        <w:tc>
          <w:tcPr>
            <w:tcW w:type="dxa" w:w="15552"/>
            <w:shd w:fill="EEF7F5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5"/>
              </w:rPr>
              <w:t xml:space="preserve">TE4-DIG-02: </w:t>
            </w:r>
            <w:r>
              <w:rPr>
                <w:color w:val="102A35"/>
                <w:sz w:val="15"/>
              </w:rPr>
              <w:t>uses data and digital systems to code, design and produce projects</w:t>
            </w:r>
          </w:p>
        </w:tc>
      </w:tr>
    </w:tbl>
    <w:p>
      <w:pPr>
        <w:spacing w:before="80" w:after="0" w:line="240" w:lineRule="auto"/>
      </w:pPr>
      <w:r>
        <w:rPr>
          <w:color w:val="52656D"/>
          <w:sz w:val="14"/>
        </w:rPr>
        <w:t>Outcome selection decision: TE4-MSC-01 was removed because the integrated course does not provide a distinct, source-supported materials, systems and components sequence. Staff sign-off on the seven selected outcomes remains Teacher to confirm.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Lessons 1–5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FRAME · ADJUST WITHOUT CHANGING SECTION IDS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</w:trPr>
        <w:tc>
          <w:tcPr>
            <w:tcW w:type="dxa" w:w="547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1843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Lesson / type</w:t>
            </w:r>
          </w:p>
        </w:tc>
        <w:tc>
          <w:tcPr>
            <w:tcW w:type="dxa" w:w="3139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Learning and teaching</w:t>
            </w:r>
          </w:p>
        </w:tc>
        <w:tc>
          <w:tcPr>
            <w:tcW w:type="dxa" w:w="247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Drive-first source / activity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Evidence and checks</w:t>
            </w:r>
          </w:p>
        </w:tc>
        <w:tc>
          <w:tcPr>
            <w:tcW w:type="dxa" w:w="151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Outcomes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Support / safety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M1: Brief, purpose and audience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m01-s01, m01-s02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Introduce the verified Fast Food Futures design challenge; model a source-bound brief and respectful audience profile.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Sort brief and audience clues, complete the six section checks and draft the first two section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Business Planning Brainstorm; Being a Graphic Designer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audience-research-workspace; design-brief-loop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Brief or audience clue?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module-01-the-design-challenge.pptx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Brief separates confirmed requirements, student choices and one unsupported assumption.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1: Brand brief and audience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Keep student and family details out of unconfirmed AI/services; use source-supported brief facts only.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2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M1: Originality, responsible AI and brief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Project/folio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m01-s03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a transparent originality trail and the ideas-only AI boundary from the Drive brainstorm.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Sequence an originality trail, complete the checks and capstone, then add selected brief-and-audience evidence to folio Stage 1.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Business Planning Brainstorm; Being a Graphic Designer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responsible-ai-filter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Build an originality trail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module-01-the-design-challenge.pptx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Student contribution, checking, attribution and privacy boundary are visible.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1: Brand brief and audience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Keep student and family details out of unconfirmed AI/services; use source-supported brief facts only.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3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M2: Colour roles, contrast and typography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m02-s01, m02-s02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Explain colour roles, context, contrast, type roles and legibility using the Drive design masters before supplementary diagrams.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Apply palette decisions to scenarios, complete checks and justify colour and type choices in the section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Business Planning Brainstorm; Being a Graphic Designer; Current Drive poster and three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colour-meaning-context; typography-tone-comparison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Palette roles under pressure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module-02-visual-language.pptx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Palette and typography decisions name purpose, audience and a readable contrast check.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2: Visual direction and success criteria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TE4-DES-01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Offer high-contrast examples and a typing-only response path; do not rely on colour alone.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4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M2: Hierarchy, layout and visual direction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Project/folio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m02-s03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hierarchy, layout relationships and a purposeful mood-board direction.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Rank information, match type roles, complete the capstone and record selected visual direction and success criteria in folio Stage 2; the vocabulary grid is an optional retrieval…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Being a Graphic Designer; Current Drive poster and three contextual mock-ups; Canteen Menu WWHS.jpg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moodboard-workspace; visual-hierarchy-eye-path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Type and hierarchy lab; Multimedia vocabulary clue grid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module-02-visual-language.pptx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Visual direction is coherent and success criteria are observable rather than based only on taste.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2: Visual direction and success criteria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Offer high-contrast examples and a typing-only response path; do not rely on colour alone.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5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M3: Symbols, recognition and logo stress testing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m03-s01, m03-s02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Explain symbol recognition, simplicity, scale and contrast; model the logo stress-test before students commit to a variant.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Test a developing logo at multiple sizes and backgrounds, complete checks and record evidence-based capstone responses.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Business Planning Brainstorm; Being a Graphic Designer; Creating a Logo in Canva Demo Video.mp4; Current Drive poster and three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logo-simplicity-test; logo-scale-test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Logo stress-test station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module-03-logo-systems.pptx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Logo remains recognisable in small, large, one-colour and contrasting-background tests.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3: Logo system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TE4-DES-01</w:t>
              <w:br/>
              <w:t>TE4-SAF-01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teacher-approved Canva access; pause the screen recording and use the written/visual equivalent where needed.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Lessons 6–10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FRAME · ADJUST WITHOUT CHANGING SECTION IDS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</w:trPr>
        <w:tc>
          <w:tcPr>
            <w:tcW w:type="dxa" w:w="547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1843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Lesson / type</w:t>
            </w:r>
          </w:p>
        </w:tc>
        <w:tc>
          <w:tcPr>
            <w:tcW w:type="dxa" w:w="3139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Learning and teaching</w:t>
            </w:r>
          </w:p>
        </w:tc>
        <w:tc>
          <w:tcPr>
            <w:tcW w:type="dxa" w:w="247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Drive-first source / activity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Evidence and checks</w:t>
            </w:r>
          </w:p>
        </w:tc>
        <w:tc>
          <w:tcPr>
            <w:tcW w:type="dxa" w:w="151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Outcomes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Support / safety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6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M3: Canva logo workflow, variants and critique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Practical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m03-s03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logo demonstration first, then model criterion-based critique and deliberate logo variants.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Produce or refine an original logo in a teacher-approved account, sort critique, complete the capstone and save selected evidence in folio Stage 3.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Creating a Logo in Canva Demo Video.mp4; Being a Graphic Designer; Current Drive poster and three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logo-variant-system; Creating a Logo in Canva Demo Video.mp4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Critique that helps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module-03-logo-systems.pptx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Selected logo and rationale show an original decision, a scale/contrast check and a justified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3: Logo system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TE4-SAF-01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teacher-approved Canva access; pause the screen recording and use the written/visual equivalent where needed.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7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M4: Menu structure, grouping and scan paths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m04-s01, m04-s02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Inspect the complete current Drive canteen menu first as an information-design example, not current price authority; model grouping, alignment and scanning.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Annotate the menu scan path, complete checks and draft section capstones for grouping and readability.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Canteen Menu WWHS.jpg; Business Planning Brainstorm; Current Drive poster and three contextual mock-ups; Being a Graphic Designer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canteen-menu-source; menu-information-architecture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Menu scan-path investigation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module-04-menu-information-design.pptx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Menu structure uses labelled groups, predictable alignment and a reader finding 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4: Menu information and honest marketing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Treat the source menu as historical layout evidence only; do not copy its products or prices as current facts.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8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M4: Honest product information and menu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Project/folio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m04-s03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the boundary between supported description, evidence-needed claims and details that must be withheld.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Sort claims, complete checks and capstone, then record menu hierarchy and one honest marketing decision in folio Stage 4.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Canteen Menu WWHS.jpg; Investigation: The McDonald's Management &amp; Marketing Simulation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Claim, evidence or hold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module-04-menu-information-design.pptx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Student menu evidence is original and does not copy historical products, prices or unsupported benefits.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4: Menu information and honest marketing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Treat the source menu as historical layout evidence only; do not copy its products or prices as current facts.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9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M5: Poster composition and focal path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m05-s01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poster first to model composition, focal point, balance and a five-second attention path without copying its content.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Run the focal-path test, complete checks and write the composition capstone.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Current Drive poster and three contextual mock-ups; Create a poster in Canva.mp4; Being a Graphic Designer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poster-source-original; poster-layout-focal-point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Five-second focal-path test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module-05-promotional-poster.pptx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Poster plan names what viewers should notice first, next and last, with a reason for each choice.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5: Promotional poster in context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TE4-DES-01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privacy-safe, appropriately licensed images; inspect removed-background edges and context mock-ups at useful size.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10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M5: Poster production, clean edges and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Practical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m05-s02, m05-s03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poster demonstration and three mock-ups first; model image selection, background-edge inspection, calls to action and context testing.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Produce or refine an original poster, complete the scenario matrix and checks, then record poster/context evidence in folio Stage 5.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Current Drive poster and three contextual mock-ups; Create a poster in Canva.mp4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poster-table-mockup-source; poster-outdoor-mockup-source; Create a poster in Canva.mp4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Cut-out or context?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module-05-promotional-poster.pptx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Poster export has clean image edges, readable hierarchy, an honest action and one context-driven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5: Promotional poster in context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TE4-SAF-01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privacy-safe, appropriately licensed images; inspect removed-background edges and context mock-ups at useful size.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Lessons 11–15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FRAME · ADJUST WITHOUT CHANGING SECTION IDS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</w:trPr>
        <w:tc>
          <w:tcPr>
            <w:tcW w:type="dxa" w:w="547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1843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Lesson / type</w:t>
            </w:r>
          </w:p>
        </w:tc>
        <w:tc>
          <w:tcPr>
            <w:tcW w:type="dxa" w:w="3139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Learning and teaching</w:t>
            </w:r>
          </w:p>
        </w:tc>
        <w:tc>
          <w:tcPr>
            <w:tcW w:type="dxa" w:w="247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Drive-first source / activity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Evidence and checks</w:t>
            </w:r>
          </w:p>
        </w:tc>
        <w:tc>
          <w:tcPr>
            <w:tcW w:type="dxa" w:w="151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Outcomes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Support / safety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11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M6: Consistent identity across touchpoints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m06-s01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Explain how shape, colour and type stay coherent while scale and placement adapt to each application.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Begin the application comparison matrix, complete checks and explain the brand rules that should remain stable.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Current Drive poster and three contextual mock-ups; Creating a Staff Uniform in Canva Demo.mp4; Business Planning Brainstorm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brand-touchpoints; brand-consistency-system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Same brand, different context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module-06-brand-applications.pptx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Student can distinguish deliberate consistency from copying one layout unchanged.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6: Staff uniform brand application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TE4-DES-01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The uniform is a digital concept, not evidence of manufactured clothing or workplace suitability; local production requirements are no…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12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M6: Staff-uniform concept, suitability and accessibility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Practical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m06-s02, m06-s03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staff-uniform demonstration first; model placement, contrast, suitability and a non-colour accessibility cue.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Develop and check an original uniform concept in an approved account, finish the activity and record selected evidence in folio Stage 6.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Creating a Staff Uniform in Canva Demo.mp4; Business Planning Brainstorm; Current Drive poster and three contextual mock-ups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uniform-system; accessibility-contrast-check; Creating a Staff Uniform in Canva Demo.mp4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Same brand, different context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module-06-brand-applications.pptx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Uniform concept retains brand recognition and explains suitability, accessibility and one tested change.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6: Staff uniform brand application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TE4-SAF-01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The uniform is a digital concept, not evidence of manufactured clothing or workplace suitability; local production requirements are no…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13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M7: Motion states and Match and Move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m07-s01, m07-s02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verified 6:21 Drive tutorial first to explain complete visual states, correspondence and purposeful transitions.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Sequence states, identify stable and changing elements, complete checks and write the first two motion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Match and Move.mp4; drive:match-and-move-source-clip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motion-state-sequence; match-move-continuity; Match and Move.mp4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Match the motion states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module-07-motion-advertising.pptx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Storyboard names the complete starting and ending states and the element properties changed between them.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7: Motion advertisement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TE4-PPM-01</w:t>
              <w:br/>
              <w:t>TE4-DES-01</w:t>
              <w:br/>
              <w:t>TE4-SAF-01</w:t>
              <w:br/>
              <w:t>TE4-DIG-01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teacher-approved accounts and files; reopen the exported MP4. The 0:16 supplied clip remains REWORK and is not a finished exemplar.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14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M7: Timing, MP4 export and evidence-quality 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Practical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m07-s03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timing, playback and MP4 verification. Use the supplied 0:16 clip only to check what a source actually proves; keep it labelled REWORK, not a finished exemplar.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Produce or inspect an original MP4, complete the export log, checks and capstone, then record a still/storyboard and filename in folio Stage 7.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Match and Move.mp4; drive:match-and-move-source-clip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export-quality-check; Match and Move Advertising.mp4 [REWORK]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Pause, inspect, export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module-07-motion-advertising.pptx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Reopened MP4 is checked for timing, hierarchy, crop, spelling and ending; a still and filename are not treated as submission proof.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7: Motion advertisement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TE4-PPM-01</w:t>
              <w:br/>
              <w:t>TE4-DES-01</w:t>
              <w:br/>
              <w:t>TE4-SAF-01</w:t>
              <w:br/>
              <w:t>TE4-DIG-01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Use teacher-approved accounts and files; reopen the exported MP4. The 0:16 supplied clip remains REWORK and is not a finished exemplar.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15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M8: Persuasion, target groups and greenwashing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m08-s01, m08-s02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marketing simulation first to distinguish informative persuasion, unfair pressure and evidence-limited environmental claims.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Audit claims with the traffic-light activity, complete checks and write evidence-based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Investigation: The McDonald's Management &amp; Marketing Simulation; Business Planning Brainstorm; Canteen Menu WWHS.jpg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persuasion-evidence-ladder; greenwashing-claim-check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Persuasion or unsupported pressure?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module-08-ethical-marketing-systems.pptx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Student identifies what a claim says, what evidence exists and how wording should be limited.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4: Menu information and honest marketing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TE4-SDP-01</w:t>
              <w:br/>
              <w:t>TE4-PDP-01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Keep claims evidence-limited; label plausible ripple effects as assumptions rather than guaranteed outcomes.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Lessons 16–20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PROVISIONAL FRAME · ADJUST WITHOUT CHANGING SECTION IDS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0"/>
        <w:gridCol w:w="2260"/>
        <w:gridCol w:w="2260"/>
        <w:gridCol w:w="2260"/>
        <w:gridCol w:w="2260"/>
        <w:gridCol w:w="2260"/>
        <w:gridCol w:w="2260"/>
      </w:tblGrid>
      <w:tr>
        <w:trPr>
          <w:tblHeader w:val="true"/>
        </w:trPr>
        <w:tc>
          <w:tcPr>
            <w:tcW w:type="dxa" w:w="547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#</w:t>
            </w:r>
          </w:p>
        </w:tc>
        <w:tc>
          <w:tcPr>
            <w:tcW w:type="dxa" w:w="1843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Lesson / type</w:t>
            </w:r>
          </w:p>
        </w:tc>
        <w:tc>
          <w:tcPr>
            <w:tcW w:type="dxa" w:w="3139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Learning and teaching</w:t>
            </w:r>
          </w:p>
        </w:tc>
        <w:tc>
          <w:tcPr>
            <w:tcW w:type="dxa" w:w="247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Drive-first source / activity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Evidence and checks</w:t>
            </w:r>
          </w:p>
        </w:tc>
        <w:tc>
          <w:tcPr>
            <w:tcW w:type="dxa" w:w="151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Outcomes</w:t>
            </w:r>
          </w:p>
        </w:tc>
        <w:tc>
          <w:tcPr>
            <w:tcW w:type="dxa" w:w="2995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3"/>
              </w:rPr>
              <w:t>Support / safety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16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M8: Business ripple effects and designer responsibility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Project/folio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m08-s03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a cautious system ripple chain that labels confirmed links, plausible assumptions and evidence needed.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Build a four-step ripple chain, complete checks and capstone, then add one honest marketing decision to folio Stage 4.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Investigation: The McDonald's Management &amp; Marketing Simulation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systems-ripple-effect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Ripple-effect chain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module-08-ethical-marketing-systems.pptx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Ripple chain makes uncertainty visible and ends with a realistic, responsible designer action.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4: Menu information and honest marketing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TE4-SDP-01</w:t>
              <w:br/>
              <w:t>TE4-PDP-01</w:t>
              <w:br/>
              <w:t>TE4-PPM-01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Keep claims evidence-limited; label plausible ripple effects as assumptions rather than guaranteed outcomes.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17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M9: Web portfolio structure and prepared media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m09-s01, m09-s02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Use the current Drive Google Sites demonstration first to model the Home, Products and Contact Us structure, navigation and privacy-safe media preparation.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Map content to the three pages, begin the site preflight, complete checks and draft the first two web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Google Sites Demonstration.mp4; Website Link; Current Drive poster and three contextual mock-ups; Match and Move.mp4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site-structure-map; Google Sites Demonstration.mp4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Three-page site preflight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module-09-web-portfolio.pptx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Site structure is predictable and media preparation includes alt text, privacy and access considerations.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8: Web portfolio and evaluation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TE4-PPM-01</w:t>
              <w:br/>
              <w:t>TE4-DES-01</w:t>
              <w:br/>
              <w:t>TE4-SAF-01</w:t>
              <w:br/>
              <w:t>TE4-DIG-01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Do not expose edit links, names, email addresses or account menus; publication and sharing settings remain teacher-controlled.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18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M9: Publication, access and teacher-viewable link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Practical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m09-s03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Distinguish preview, publish, authorised access, local save and submission; do not broaden sharing without the teacher-confirmed rule.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Complete the access preflight in an approved viewing context, finish checks/capstone and record the teacher-approved site location and screenshot in folio Stage 8.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Google Sites Demonstration.mp4; Website Link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publish-access-check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Three-page site preflight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module-09-web-portfolio.pptx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Link works for the intended viewer without exposing edit access, personal details or unapproved public sharing.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8: Web portfolio and evaluation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TE4-PPM-01</w:t>
              <w:br/>
              <w:t>TE4-DES-01</w:t>
              <w:br/>
              <w:t>TE4-SAF-01</w:t>
              <w:br/>
              <w:t>TE4-DIG-01</w:t>
              <w:br/>
              <w:t>TE4-DIG-02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Do not expose edit links, names, email addresses or account menus; publication and sharing settings remain teacher-controlled.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19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M10: Success criteria, feedback and design rationale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Site/theory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m10-s01, m10-s02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how criteria, observable feedback and evidence support a concise design rationale.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Triage feedback, build a reasoning chain, complete checks and draft the first two evaluation capstones.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Business Planning Brainstorm; Fast Food Futures Digital Branding Unit; Current Drive poster and three contextual mock-ups; Being a Graphic Designer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peer-critique; feedback-iteration-cycle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From feedback to rationale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module-10-present-evaluate-improve.pptx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Rationale connects audience, purpose, criterion, observed evidence, judgement and revision.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6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8: Web portfolio and evaluation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TE4-PDP-01</w:t>
              <w:br/>
              <w:t>TE4-PPM-01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Feedback should concern observable design evidence, not personal comments; browser-local save/export is not submission.</w:t>
            </w:r>
          </w:p>
        </w:tc>
      </w:tr>
      <w:tr>
        <w:trPr>
          <w:cantSplit/>
        </w:trPr>
        <w:tc>
          <w:tcPr>
            <w:tcW w:type="dxa" w:w="547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b/>
              </w:rPr>
            </w:r>
            <w:r>
              <w:rPr>
                <w:color w:val="07564F"/>
                <w:sz w:val="15"/>
              </w:rPr>
              <w:t>20</w:t>
            </w:r>
          </w:p>
        </w:tc>
        <w:tc>
          <w:tcPr>
            <w:tcW w:type="dxa" w:w="1843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102A35"/>
                <w:sz w:val="14"/>
              </w:rPr>
              <w:t>M10: Evaluation, next iteration and final evidence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Type: </w:t>
            </w:r>
            <w:r>
              <w:rPr>
                <w:color w:val="102A35"/>
                <w:sz w:val="14"/>
              </w:rPr>
              <w:t>Project/folio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Sections: </w:t>
            </w:r>
            <w:r>
              <w:rPr>
                <w:color w:val="102A35"/>
                <w:sz w:val="14"/>
              </w:rPr>
              <w:t>m10-s03</w:t>
            </w:r>
          </w:p>
        </w:tc>
        <w:tc>
          <w:tcPr>
            <w:tcW w:type="dxa" w:w="3139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Teacher: </w:t>
            </w:r>
            <w:r>
              <w:rPr>
                <w:color w:val="102A35"/>
                <w:sz w:val="13"/>
              </w:rPr>
              <w:t>Model an honest criterion–evidence–judgement–next-iteration evaluation and a safe order for improvements.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Students: </w:t>
            </w:r>
            <w:r>
              <w:rPr>
                <w:color w:val="102A35"/>
                <w:sz w:val="13"/>
              </w:rPr>
              <w:t>Prioritise improvements, complete checks and final capstone, then finish folio Stage 8 and create a browser-local backup/export as preparation only.</w:t>
            </w:r>
          </w:p>
        </w:tc>
        <w:tc>
          <w:tcPr>
            <w:tcW w:type="dxa" w:w="2476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Source: </w:t>
            </w:r>
            <w:r>
              <w:rPr>
                <w:color w:val="102A35"/>
                <w:sz w:val="13"/>
              </w:rPr>
              <w:t>Fast Food Futures Digital Branding Unit; Website Link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Media: </w:t>
            </w:r>
            <w:r>
              <w:rPr>
                <w:color w:val="102A35"/>
                <w:sz w:val="13"/>
              </w:rPr>
              <w:t>evaluation-evidence-structure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Activity: </w:t>
            </w:r>
            <w:r>
              <w:rPr>
                <w:color w:val="102A35"/>
                <w:sz w:val="13"/>
              </w:rPr>
              <w:t>Next-iteration priority board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Deck: </w:t>
            </w:r>
            <w:r>
              <w:rPr>
                <w:color w:val="102A35"/>
                <w:sz w:val="13"/>
              </w:rPr>
              <w:t>module-10-present-evaluate-improve.pptx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3"/>
              </w:rPr>
              <w:t xml:space="preserve">Checkpoint: </w:t>
            </w:r>
            <w:r>
              <w:rPr>
                <w:color w:val="102A35"/>
                <w:sz w:val="13"/>
              </w:rPr>
              <w:t>Evaluation uses specific evidence, identifies a limitation and proposes one testable next iteration without claiming formal submission.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Checks: </w:t>
            </w:r>
            <w:r>
              <w:rPr>
                <w:color w:val="102A35"/>
                <w:sz w:val="13"/>
              </w:rPr>
              <w:t>3 feedback-rich checks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Folio: </w:t>
            </w:r>
            <w:r>
              <w:rPr>
                <w:color w:val="102A35"/>
                <w:sz w:val="13"/>
              </w:rPr>
              <w:t>Stage 8: Web portfolio and evaluation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Status: </w:t>
            </w:r>
            <w:r>
              <w:rPr>
                <w:color w:val="102A35"/>
                <w:sz w:val="13"/>
              </w:rPr>
              <w:t>Formative; not formal submission</w:t>
            </w:r>
          </w:p>
        </w:tc>
        <w:tc>
          <w:tcPr>
            <w:tcW w:type="dxa" w:w="1512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07564F"/>
                <w:sz w:val="13"/>
              </w:rPr>
              <w:t>TE4-SDP-01</w:t>
              <w:br/>
              <w:t>TE4-PDP-01</w:t>
              <w:br/>
              <w:t>TE4-PPM-01</w:t>
              <w:br/>
              <w:t>TE4-DES-01</w:t>
              <w:br/>
              <w:t>TE4-DIG-01</w:t>
            </w:r>
          </w:p>
        </w:tc>
        <w:tc>
          <w:tcPr>
            <w:tcW w:type="dxa" w:w="2995"/>
            <w:tcMar>
              <w:top w:w="55" w:type="dxa"/>
              <w:start w:w="60" w:type="dxa"/>
              <w:bottom w:w="55" w:type="dxa"/>
              <w:end w:w="60" w:type="dxa"/>
            </w:tcMar>
            <w:vAlign w:val="top"/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Support — Use the section key ideas, vocabulary, worked example and immediate check feedback one section at a time.</w:t>
              <w:br/>
              <w:t>Extend — Compare an alternative design decision, justify a revision against audience/criteria evidence and define a retest.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3"/>
              </w:rPr>
              <w:t xml:space="preserve">Safety: </w:t>
            </w:r>
            <w:r>
              <w:rPr>
                <w:color w:val="102A35"/>
                <w:sz w:val="13"/>
              </w:rPr>
              <w:t>Feedback should concern observable design evidence, not personal comments; browser-local save/export is not submission.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4"/>
              </w:rPr>
              <w:t>Program control, evaluation and sign-off</w:t>
            </w:r>
          </w:p>
        </w:tc>
        <w:tc>
          <w:tcPr>
            <w:tcW w:type="dxa" w:w="7909"/>
            <w:shd w:fill="07564F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b/>
                <w:color w:val="F2C14E"/>
                <w:sz w:val="15"/>
              </w:rPr>
              <w:t>STAFF REVIEW REQUIRED</w:t>
            </w:r>
          </w:p>
        </w:tc>
      </w:tr>
    </w:tbl>
    <w:p>
      <w:pPr>
        <w:pStyle w:val="Heading2"/>
        <w:spacing w:before="80" w:after="60" w:line="240" w:lineRule="auto"/>
      </w:pPr>
      <w:r>
        <w:t>Teacher to 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blHeader w:val="true"/>
        </w:trPr>
        <w:tc>
          <w:tcPr>
            <w:tcW w:type="dxa" w:w="792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7703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Decision needed</w:t>
            </w:r>
          </w:p>
        </w:tc>
        <w:tc>
          <w:tcPr>
            <w:tcW w:type="dxa" w:w="3096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960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Before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TTC-01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Exact unit length, period duration, timetable and allocation of the provisional 20-lesson frame.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Head Teacher/faculty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Timetabling and issue for classroom delivery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TTC-02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Whether Fast Food Futures is one Year 7 rotation or part of a larger Mandatory Technology program.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Head Teacher/faculty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Program sign-off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TTC-03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Formal assessment mapping, approved notification, task occurrence, outcomes, criteria, marks/weighting, issue/due information and submission route.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Head Teacher/faculty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Any formal assessment claim or task issue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TTC-04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Required quantity of products, posters and animated advertisements; the Drive scaffold capacity is not a confirmed requirement.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Class teacher/faculty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Issuing the production brief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TTC-05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Permitted Google Sites sharing state and approved teacher-viewable/submission route.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Head Teacher/school digital systems authority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Any publication or link submission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TTC-06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Student account, licence and access arrangements for Canva, Google Sites and the nominated management/marketing simulation.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Class teacher/school digital systems authority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First use of each service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TTC-07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Replace or correct Match and Move Advertising.mp4 if a finished exemplar is required.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Course source owner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Using the file as a finished exemplar</w:t>
            </w:r>
          </w:p>
        </w:tc>
      </w:tr>
      <w:tr>
        <w:trPr>
          <w:cantSplit/>
        </w:trPr>
        <w:tc>
          <w:tcPr>
            <w:tcW w:type="dxa" w:w="79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>
              <w:rPr>
                <w:b/>
              </w:rPr>
            </w:r>
            <w:r>
              <w:rPr>
                <w:color w:val="07564F"/>
                <w:sz w:val="13"/>
              </w:rPr>
              <w:t>TTC-08</w:t>
            </w:r>
          </w:p>
        </w:tc>
        <w:tc>
          <w:tcPr>
            <w:tcW w:type="dxa" w:w="77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Local staff sign-off on the seven-outcome subset selected by backward mapping.</w:t>
            </w:r>
          </w:p>
        </w:tc>
        <w:tc>
          <w:tcPr>
            <w:tcW w:type="dxa" w:w="3096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Head Teacher/faculty</w:t>
            </w:r>
          </w:p>
        </w:tc>
        <w:tc>
          <w:tcPr>
            <w:tcW w:type="dxa" w:w="3960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30" w:line="240" w:lineRule="auto"/>
            </w:pPr>
            <w:r/>
            <w:r>
              <w:rPr>
                <w:color w:val="102A35"/>
                <w:sz w:val="13"/>
              </w:rPr>
              <w:t>Program approval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09"/>
        <w:gridCol w:w="7909"/>
      </w:tblGrid>
      <w:tr>
        <w:trPr>
          <w:tblHeader w:val="true"/>
        </w:trPr>
        <w:tc>
          <w:tcPr>
            <w:tcW w:type="dxa" w:w="7909"/>
            <w:tcMar>
              <w:top w:w="75" w:type="dxa"/>
              <w:start w:w="90" w:type="dxa"/>
              <w:bottom w:w="75" w:type="dxa"/>
              <w:end w:w="90" w:type="dxa"/>
            </w:tcMar>
            <w:shd w:fill="EEF7F5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4"/>
              </w:rPr>
              <w:t xml:space="preserve">Unit evaluation: </w:t>
            </w:r>
            <w:r>
              <w:rPr>
                <w:color w:val="102A35"/>
                <w:sz w:val="14"/>
              </w:rPr>
              <w:t>Record what was taught, changed and evidenced; identify adjustments and the next useful improvement.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Evidence to retain: </w:t>
            </w:r>
            <w:r>
              <w:rPr>
                <w:color w:val="102A35"/>
                <w:sz w:val="14"/>
              </w:rPr>
              <w:t>Teacher reflection; Learning evidence reviewed; Drive source effectiveness; Adjustments and access; Timing and sequence variance; Assessment authority changes; Media rework status; Next iteration; Sign off name and date</w:t>
            </w:r>
          </w:p>
        </w:tc>
        <w:tc>
          <w:tcPr>
            <w:tcW w:type="dxa" w:w="7909"/>
            <w:tcMar>
              <w:top w:w="75" w:type="dxa"/>
              <w:start w:w="90" w:type="dxa"/>
              <w:bottom w:w="75" w:type="dxa"/>
              <w:end w:w="90" w:type="dxa"/>
            </w:tcMar>
            <w:shd w:fill="FFF8DC"/>
          </w:tcPr>
          <w:p>
            <w:pPr>
              <w:spacing w:before="0" w:after="30" w:line="240" w:lineRule="auto"/>
            </w:pPr>
            <w:r/>
            <w:r>
              <w:rPr>
                <w:b/>
                <w:color w:val="07564F"/>
                <w:sz w:val="14"/>
              </w:rPr>
              <w:t xml:space="preserve">Assessment boundary: </w:t>
            </w:r>
            <w:r>
              <w:rPr>
                <w:color w:val="102A35"/>
                <w:sz w:val="14"/>
              </w:rPr>
              <w:t>Formative evidence guide - not a formal task notification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Formal status: </w:t>
            </w:r>
            <w:r>
              <w:rPr>
                <w:color w:val="102A35"/>
                <w:sz w:val="14"/>
              </w:rPr>
              <w:t>Teacher to confirm; no approved task notice, dates, weighting, marks, criteria or submission route are created here.</w:t>
            </w:r>
          </w:p>
          <w:p>
            <w:pPr>
              <w:spacing w:before="0" w:after="30" w:line="240" w:lineRule="auto"/>
            </w:pPr>
            <w:r>
              <w:rPr>
                <w:b/>
                <w:color w:val="07564F"/>
                <w:sz w:val="14"/>
              </w:rPr>
              <w:t xml:space="preserve">Source limitation: </w:t>
            </w:r>
            <w:r>
              <w:rPr>
                <w:color w:val="102A35"/>
                <w:sz w:val="14"/>
              </w:rPr>
              <w:t>Match and Move Advertising.mp4 (0:16) is REWORK and is not a finished exemplar.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954"/>
        <w:gridCol w:w="3954"/>
        <w:gridCol w:w="3954"/>
        <w:gridCol w:w="3954"/>
      </w:tblGrid>
      <w:tr>
        <w:trPr>
          <w:tblHeader w:val="true"/>
        </w:trPr>
        <w:tc>
          <w:tcPr>
            <w:tcW w:type="dxa" w:w="395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Prepared/reviewed by</w:t>
            </w:r>
          </w:p>
        </w:tc>
        <w:tc>
          <w:tcPr>
            <w:tcW w:type="dxa" w:w="395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Faculty sign-off</w:t>
            </w:r>
          </w:p>
        </w:tc>
        <w:tc>
          <w:tcPr>
            <w:tcW w:type="dxa" w:w="395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3954"/>
            <w:shd w:fill="07564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/>
                <w:color w:val="FFFFFF"/>
                <w:sz w:val="14"/>
              </w:rPr>
              <w:t>Next review</w:t>
            </w:r>
          </w:p>
        </w:tc>
      </w:tr>
      <w:tr>
        <w:tc>
          <w:tcPr>
            <w:tcW w:type="dxa" w:w="3954"/>
          </w:tcPr>
          <w:p>
            <w:r/>
          </w:p>
        </w:tc>
        <w:tc>
          <w:tcPr>
            <w:tcW w:type="dxa" w:w="3954"/>
          </w:tcPr>
          <w:p>
            <w:r/>
          </w:p>
        </w:tc>
        <w:tc>
          <w:tcPr>
            <w:tcW w:type="dxa" w:w="3954"/>
          </w:tcPr>
          <w:p>
            <w:r/>
          </w:p>
        </w:tc>
        <w:tc>
          <w:tcPr>
            <w:tcW w:type="dxa" w:w="3954"/>
          </w:tcPr>
          <w:p>
            <w:r/>
          </w:p>
        </w:tc>
      </w:tr>
    </w:tbl>
    <w:p>
      <w:pPr>
        <w:spacing w:before="80" w:after="0" w:line="240" w:lineRule="auto"/>
      </w:pPr>
      <w:r>
        <w:rPr>
          <w:color w:val="52656D"/>
          <w:sz w:val="13"/>
        </w:rPr>
        <w:t>Authority: Technology 7–8 Syllabus (2023) · Digital and communication technologies · verified 24 August 2026. School-developed and NESA-aligned; not NESA-approved or endorsed. Local course candidate only.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510" w:bottom="510" w:left="510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56D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812"/>
      <w:gridCol w:w="7812"/>
    </w:tblGrid>
    <w:tr>
      <w:trPr>
        <w:tblHeader w:val="true"/>
      </w:trPr>
      <w:tc>
        <w:tcPr>
          <w:tcW w:type="dxa" w:w="7812"/>
          <w:shd w:fill="07564F"/>
        </w:tcPr>
        <w:p>
          <w:pPr>
            <w:spacing w:before="0" w:after="0" w:line="240" w:lineRule="auto"/>
          </w:pPr>
          <w:r>
            <w:rPr>
              <w:b/>
              <w:color w:val="FFFFFF"/>
              <w:sz w:val="17"/>
            </w:rPr>
            <w:t>M7  |  YEAR 7 TECHNOLOGY — MULTIMEDIA</w:t>
          </w:r>
        </w:p>
      </w:tc>
      <w:tc>
        <w:tcPr>
          <w:tcW w:type="dxa" w:w="7812"/>
          <w:shd w:fill="07564F"/>
        </w:tcPr>
        <w:p>
          <w:pPr>
            <w:spacing w:before="0" w:after="0" w:line="240" w:lineRule="auto"/>
            <w:jc w:val="right"/>
          </w:pPr>
          <w:r>
            <w:rPr>
              <w:b/>
              <w:color w:val="FFFFFF"/>
              <w:sz w:val="16"/>
            </w:rPr>
            <w:t>FAST FOOD FUTURES  ·  LOCAL PROGRAM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3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5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75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564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7 Multimedia Teaching Program v1.0</dc:title>
  <dc:subject>Backward-mapped Technology 7–8 teaching program</dc:subject>
  <dc:creator>Year 7 Technology faculty</dc:creator>
  <cp:keywords>Technology 7-8, Multimedia, Digital and communication technologies, teaching program</cp:keywords>
  <dc:description>School-developed, NESA-aligned local planning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