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60" w:line="240" w:lineRule="auto"/>
      </w:pPr>
      <w:r>
        <w:rPr>
          <w:rFonts w:ascii="Aptos" w:hAnsi="Aptos"/>
          <w:b/>
          <w:color w:val="BD472F"/>
          <w:sz w:val="19"/>
        </w:rPr>
        <w:t>YEAR 8 TECHNOLOGY MANDATORY</w:t>
      </w:r>
    </w:p>
    <w:p>
      <w:pPr>
        <w:pStyle w:val="Heading1"/>
        <w:keepNext w:val="0"/>
        <w:spacing w:before="0" w:after="20" w:line="240" w:lineRule="auto"/>
      </w:pPr>
      <w:r>
        <w:rPr>
          <w:rFonts w:ascii="Aptos" w:hAnsi="Aptos"/>
          <w:b/>
          <w:color w:val="174829"/>
          <w:sz w:val="44"/>
        </w:rPr>
        <w:t>Catapult | delivery register</w:t>
      </w:r>
    </w:p>
    <w:p>
      <w:pPr>
        <w:keepNext w:val="0"/>
        <w:spacing w:before="0" w:after="120" w:line="240" w:lineRule="auto"/>
      </w:pPr>
      <w:r>
        <w:rPr>
          <w:rFonts w:ascii="Aptos" w:hAnsi="Aptos"/>
          <w:b w:val="0"/>
          <w:color w:val="5D665F"/>
          <w:sz w:val="21"/>
        </w:rPr>
        <w:t>25-block planning scaffold | Blank before delivery | v1.0.0</w:t>
      </w:r>
    </w:p>
    <w:tbl>
      <w:tblPr>
        <w:tblLook w:firstColumn="1" w:firstRow="1" w:lastColumn="0" w:lastRow="0" w:noHBand="0" w:noVBand="1" w:val="04A0"/>
        <w:tblW w:w="15048" w:type="dxa"/>
        <w:tblInd w:w="0" w:type="dxa"/>
        <w:tblLayout w:type="fixed"/>
      </w:tblPr>
      <w:tblGrid>
        <w:gridCol w:w="1512"/>
        <w:gridCol w:w="5688"/>
        <w:gridCol w:w="1512"/>
        <w:gridCol w:w="6336"/>
      </w:tblGrid>
      <w:tr>
        <w:trPr>
          <w:cantSplit/>
        </w:trPr>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Course</w:t>
            </w:r>
          </w:p>
        </w:tc>
        <w:tc>
          <w:tcPr>
            <w:tcW w:type="dxa" w:w="9"/>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8"/>
              </w:rPr>
              <w:t>Year 8 Technology Mandatory</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Program</w:t>
            </w:r>
          </w:p>
        </w:tc>
        <w:tc>
          <w:tcPr>
            <w:tcW w:type="dxa" w:w="1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8"/>
              </w:rPr>
              <w:t>Catapult teaching program v1.0.0</w:t>
            </w:r>
          </w:p>
        </w:tc>
      </w:tr>
      <w:tr>
        <w:trPr>
          <w:cantSplit/>
        </w:trPr>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Delivery year</w:t>
            </w:r>
          </w:p>
        </w:tc>
        <w:tc>
          <w:tcPr>
            <w:tcW w:type="dxa" w:w="9"/>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8"/>
              </w:rPr>
              <w:t>2026</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Sequence</w:t>
            </w:r>
          </w:p>
        </w:tc>
        <w:tc>
          <w:tcPr>
            <w:tcW w:type="dxa" w:w="1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8"/>
              </w:rPr>
              <w:t>10 source weeks | 25 provisional blocks</w:t>
            </w:r>
          </w:p>
        </w:tc>
      </w:tr>
      <w:tr>
        <w:trPr>
          <w:cantSplit/>
        </w:trPr>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Class</w:t>
            </w:r>
          </w:p>
        </w:tc>
        <w:tc>
          <w:tcPr>
            <w:tcW w:type="dxa" w:w="9"/>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8"/>
              </w:rPr>
              <w:t>________________________</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Teacher</w:t>
            </w:r>
          </w:p>
        </w:tc>
        <w:tc>
          <w:tcPr>
            <w:tcW w:type="dxa" w:w="1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8"/>
              </w:rPr>
              <w:t>________________________</w:t>
            </w:r>
          </w:p>
        </w:tc>
      </w:tr>
      <w:tr>
        <w:trPr>
          <w:cantSplit/>
        </w:trPr>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Start</w:t>
            </w:r>
          </w:p>
        </w:tc>
        <w:tc>
          <w:tcPr>
            <w:tcW w:type="dxa" w:w="9"/>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8"/>
              </w:rPr>
              <w:t>____ / ____ / ______</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color w:val="174829"/>
                <w:sz w:val="18"/>
              </w:rPr>
              <w:t>Review/sign-off</w:t>
            </w:r>
          </w:p>
        </w:tc>
        <w:tc>
          <w:tcPr>
            <w:tcW w:type="dxa" w:w="10"/>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8"/>
              </w:rPr>
              <w:t>________________________</w:t>
            </w:r>
          </w:p>
        </w:tc>
      </w:tr>
    </w:tbl>
    <w:tbl>
      <w:tblPr>
        <w:tblLook w:firstColumn="1" w:firstRow="1" w:lastColumn="0" w:lastRow="0" w:noHBand="0" w:noVBand="1" w:val="04A0"/>
        <w:tblW w:w="15048" w:type="dxa"/>
        <w:tblInd w:w="0" w:type="dxa"/>
        <w:tblLayout w:type="fixed"/>
      </w:tblPr>
      <w:tblGrid>
        <w:gridCol w:w="15048"/>
      </w:tblGrid>
      <w:tr>
        <w:trPr>
          <w:cantSplit/>
        </w:trPr>
        <w:tc>
          <w:tcPr>
            <w:tcW w:type="dxa" w:w="2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FF5D6"/>
          </w:tcPr>
          <w:p>
            <w:pPr>
              <w:spacing w:before="0" w:after="0" w:line="230" w:lineRule="auto"/>
              <w:jc w:val="left"/>
            </w:pPr>
            <w:r>
              <w:rPr>
                <w:rFonts w:ascii="Aptos" w:hAnsi="Aptos"/>
                <w:b/>
                <w:color w:val="BD472F"/>
                <w:sz w:val="18"/>
              </w:rPr>
              <w:t>Confirm the local timetable, duration and lesson count before use. Record what actually happened; do not backfill the register to match the plan.</w:t>
            </w:r>
          </w:p>
        </w:tc>
      </w:tr>
    </w:tbl>
    <w:p>
      <w:pPr>
        <w:pStyle w:val="Heading2"/>
        <w:keepNext/>
        <w:spacing w:before="120" w:after="60" w:line="240" w:lineRule="auto"/>
      </w:pPr>
      <w:r>
        <w:rPr>
          <w:rFonts w:ascii="Aptos Display" w:hAnsi="Aptos Display"/>
          <w:b/>
          <w:color w:val="174829"/>
          <w:sz w:val="24"/>
        </w:rPr>
        <w:t>How to use this register</w:t>
      </w:r>
    </w:p>
    <w:p>
      <w:pPr>
        <w:keepNext w:val="0"/>
        <w:spacing w:before="20" w:after="20" w:line="240" w:lineRule="auto"/>
      </w:pPr>
      <w:r>
        <w:rPr>
          <w:rFonts w:ascii="Aptos" w:hAnsi="Aptos"/>
          <w:b w:val="0"/>
          <w:color w:val="222222"/>
          <w:sz w:val="19"/>
        </w:rPr>
        <w:t>Write the actual date and initials after delivery.</w:t>
      </w:r>
    </w:p>
    <w:p>
      <w:pPr>
        <w:keepNext w:val="0"/>
        <w:spacing w:before="20" w:after="20" w:line="240" w:lineRule="auto"/>
      </w:pPr>
      <w:r>
        <w:rPr>
          <w:rFonts w:ascii="Aptos" w:hAnsi="Aptos"/>
          <w:b w:val="0"/>
          <w:color w:val="222222"/>
          <w:sz w:val="19"/>
        </w:rPr>
        <w:t>Record Complete, Partly complete, Varied or Not taught, then state the variance.</w:t>
      </w:r>
    </w:p>
    <w:p>
      <w:pPr>
        <w:keepNext w:val="0"/>
        <w:spacing w:before="20" w:after="20" w:line="240" w:lineRule="auto"/>
      </w:pPr>
      <w:r>
        <w:rPr>
          <w:rFonts w:ascii="Aptos" w:hAnsi="Aptos"/>
          <w:b w:val="0"/>
          <w:color w:val="222222"/>
          <w:sz w:val="19"/>
        </w:rPr>
        <w:t>Name the evidence checked; do not infer practical competence from website activity.</w:t>
      </w:r>
    </w:p>
    <w:p>
      <w:pPr>
        <w:keepNext w:val="0"/>
        <w:spacing w:before="20" w:after="20" w:line="240" w:lineRule="auto"/>
      </w:pPr>
      <w:r>
        <w:rPr>
          <w:rFonts w:ascii="Aptos" w:hAnsi="Aptos"/>
          <w:b w:val="0"/>
          <w:color w:val="222222"/>
          <w:sz w:val="19"/>
        </w:rPr>
        <w:t>Record adjustments and the smallest follow-up needed before the next dependent block.</w:t>
      </w:r>
    </w:p>
    <w:p>
      <w:pPr>
        <w:keepNext w:val="0"/>
        <w:spacing w:before="20" w:after="20" w:line="240" w:lineRule="auto"/>
      </w:pPr>
      <w:r>
        <w:rPr>
          <w:rFonts w:ascii="Aptos" w:hAnsi="Aptos"/>
          <w:b w:val="0"/>
          <w:color w:val="222222"/>
          <w:sz w:val="19"/>
        </w:rPr>
        <w:t>Keep Catapult assessment dates and submission arrangements blank until the formal notification is issued.</w:t>
      </w:r>
    </w:p>
    <w:p>
      <w:pPr>
        <w:pStyle w:val="Heading2"/>
        <w:keepNext/>
        <w:spacing w:before="120" w:after="60" w:line="240" w:lineRule="auto"/>
      </w:pPr>
      <w:r>
        <w:rPr>
          <w:rFonts w:ascii="Aptos Display" w:hAnsi="Aptos Display"/>
          <w:b/>
          <w:color w:val="174829"/>
          <w:sz w:val="24"/>
        </w:rPr>
        <w:t>Authority boundary</w:t>
      </w:r>
    </w:p>
    <w:p>
      <w:pPr>
        <w:keepNext w:val="0"/>
        <w:spacing w:before="0" w:after="40" w:line="240" w:lineRule="auto"/>
      </w:pPr>
      <w:r>
        <w:rPr>
          <w:rFonts w:ascii="Aptos" w:hAnsi="Aptos"/>
          <w:b w:val="0"/>
          <w:color w:val="174829"/>
          <w:sz w:val="19"/>
        </w:rPr>
        <w:t>The broad practical sequence comes from the teacher unit. Tools, machines, OnGuard modules, PPE, supervision, local controls, projectile, test area, launch procedure and performance thresholds remain Teacher to confirm before the affected block.</w:t>
      </w:r>
    </w:p>
    <w:p>
      <w:pPr>
        <w:keepNext w:val="0"/>
        <w:spacing w:before="0" w:after="0" w:line="240" w:lineRule="auto"/>
      </w:pPr>
      <w:r>
        <w:rPr>
          <w:rFonts w:ascii="Aptos" w:hAnsi="Aptos"/>
          <w:b w:val="0"/>
          <w:color w:val="174829"/>
          <w:sz w:val="19"/>
        </w:rPr>
        <w:t>Assessment schedule: Project and Practical 60%, Folio 25%, Design Knowledge 15%, end of Semesters 1 and 2. This register is not a formal notification or mark record.</w:t>
      </w:r>
    </w:p>
    <w:p>
      <w:pPr>
        <w:keepNext/>
        <w:pageBreakBefore/>
        <w:spacing w:before="0" w:after="0" w:line="24" w:lineRule="auto"/>
      </w:pPr>
      <w:r>
        <w:rPr>
          <w:rFonts w:ascii="Aptos" w:hAnsi="Aptos"/>
          <w:b w:val="0"/>
          <w:color w:val="FFFFFF"/>
          <w:sz w:val="2"/>
        </w:rPr>
        <w:t xml:space="preserve"> </w:t>
      </w:r>
    </w:p>
    <w:p>
      <w:pPr>
        <w:pStyle w:val="Heading1"/>
        <w:keepNext/>
        <w:spacing w:before="0" w:after="60" w:line="240" w:lineRule="auto"/>
      </w:pPr>
      <w:r>
        <w:rPr>
          <w:rFonts w:ascii="Aptos Display" w:hAnsi="Aptos Display"/>
          <w:b/>
          <w:color w:val="174829"/>
          <w:sz w:val="36"/>
        </w:rPr>
        <w:t>Delivery register | Blocks 1-8</w:t>
      </w:r>
    </w:p>
    <w:p>
      <w:pPr>
        <w:keepNext w:val="0"/>
        <w:spacing w:before="0" w:after="100" w:line="240" w:lineRule="auto"/>
      </w:pPr>
      <w:r>
        <w:rPr>
          <w:rFonts w:ascii="Aptos" w:hAnsi="Aptos"/>
          <w:b w:val="0"/>
          <w:color w:val="5D665F"/>
          <w:sz w:val="18"/>
        </w:rPr>
        <w:t>Complete after teaching. Blank fields are correct before delivery.</w:t>
      </w:r>
    </w:p>
    <w:tbl>
      <w:tblPr>
        <w:tblLook w:firstColumn="1" w:firstRow="1" w:lastColumn="0" w:lastRow="0" w:noHBand="0" w:noVBand="1" w:val="04A0"/>
        <w:tblW w:w="15048" w:type="dxa"/>
        <w:tblInd w:w="0" w:type="dxa"/>
        <w:tblLayout w:type="fixed"/>
      </w:tblPr>
      <w:tblGrid>
        <w:gridCol w:w="500"/>
        <w:gridCol w:w="3300"/>
        <w:gridCol w:w="1000"/>
        <w:gridCol w:w="700"/>
        <w:gridCol w:w="2150"/>
        <w:gridCol w:w="2150"/>
        <w:gridCol w:w="2250"/>
        <w:gridCol w:w="2998"/>
      </w:tblGrid>
      <w:tr>
        <w:trPr>
          <w:cantSplit/>
          <w:tblHeader w:val="true"/>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P</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Planned focus</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Date</w:t>
            </w:r>
          </w:p>
        </w:tc>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Init.</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Completion / variance</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Evidence checked</w:t>
            </w:r>
          </w:p>
        </w:tc>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Adjustments</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Follow-up</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1</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W1 | Catapult as an engineered system</w:t>
            </w:r>
            <w:r>
              <w:br/>
            </w:r>
            <w:r>
              <w:rPr>
                <w:rFonts w:ascii="Aptos" w:hAnsi="Aptos"/>
                <w:b w:val="0"/>
                <w:color w:val="222222"/>
                <w:sz w:val="17"/>
              </w:rPr>
              <w:t>Site/theory | m01</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2</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W1 | Brief, constraints and evidence</w:t>
            </w:r>
            <w:r>
              <w:br/>
            </w:r>
            <w:r>
              <w:rPr>
                <w:rFonts w:ascii="Aptos" w:hAnsi="Aptos"/>
                <w:b w:val="0"/>
                <w:color w:val="222222"/>
                <w:sz w:val="17"/>
              </w:rPr>
              <w:t>Project/folio | m01</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3</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W1 | Workshop orientation and readiness</w:t>
            </w:r>
            <w:r>
              <w:br/>
            </w:r>
            <w:r>
              <w:rPr>
                <w:rFonts w:ascii="Aptos" w:hAnsi="Aptos"/>
                <w:b w:val="0"/>
                <w:color w:val="222222"/>
                <w:sz w:val="17"/>
              </w:rPr>
              <w:t>Practical | m02</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4</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W2 | Tools, materials and planned safety</w:t>
            </w:r>
            <w:r>
              <w:br/>
            </w:r>
            <w:r>
              <w:rPr>
                <w:rFonts w:ascii="Aptos" w:hAnsi="Aptos"/>
                <w:b w:val="0"/>
                <w:color w:val="222222"/>
                <w:sz w:val="17"/>
              </w:rPr>
              <w:t>Site/theory | m02</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5</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W2 | Teacher-approved material and tool-function practice</w:t>
            </w:r>
            <w:r>
              <w:br/>
            </w:r>
            <w:r>
              <w:rPr>
                <w:rFonts w:ascii="Aptos" w:hAnsi="Aptos"/>
                <w:b w:val="0"/>
                <w:color w:val="222222"/>
                <w:sz w:val="17"/>
              </w:rPr>
              <w:t>Practical | m02</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6</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W3 | Energy stores and lever moments</w:t>
            </w:r>
            <w:r>
              <w:br/>
            </w:r>
            <w:r>
              <w:rPr>
                <w:rFonts w:ascii="Aptos" w:hAnsi="Aptos"/>
                <w:b w:val="0"/>
                <w:color w:val="222222"/>
                <w:sz w:val="17"/>
              </w:rPr>
              <w:t>Site/theory | m03</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7</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W3 | Woomera context and design reasoning</w:t>
            </w:r>
            <w:r>
              <w:br/>
            </w:r>
            <w:r>
              <w:rPr>
                <w:rFonts w:ascii="Aptos" w:hAnsi="Aptos"/>
                <w:b w:val="0"/>
                <w:color w:val="222222"/>
                <w:sz w:val="17"/>
              </w:rPr>
              <w:t>Project/folio | m03</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8</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W3 | Teacher-controlled lever observation</w:t>
            </w:r>
            <w:r>
              <w:br/>
            </w:r>
            <w:r>
              <w:rPr>
                <w:rFonts w:ascii="Aptos" w:hAnsi="Aptos"/>
                <w:b w:val="0"/>
                <w:color w:val="222222"/>
                <w:sz w:val="17"/>
              </w:rPr>
              <w:t>Practical | m03</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bl>
    <w:p>
      <w:pPr>
        <w:keepNext/>
        <w:pageBreakBefore/>
        <w:spacing w:before="0" w:after="0" w:line="24" w:lineRule="auto"/>
      </w:pPr>
      <w:r>
        <w:rPr>
          <w:rFonts w:ascii="Aptos" w:hAnsi="Aptos"/>
          <w:b w:val="0"/>
          <w:color w:val="FFFFFF"/>
          <w:sz w:val="2"/>
        </w:rPr>
        <w:t xml:space="preserve"> </w:t>
      </w:r>
    </w:p>
    <w:p>
      <w:pPr>
        <w:pStyle w:val="Heading1"/>
        <w:keepNext/>
        <w:spacing w:before="0" w:after="60" w:line="240" w:lineRule="auto"/>
      </w:pPr>
      <w:r>
        <w:rPr>
          <w:rFonts w:ascii="Aptos Display" w:hAnsi="Aptos Display"/>
          <w:b/>
          <w:color w:val="174829"/>
          <w:sz w:val="36"/>
        </w:rPr>
        <w:t>Delivery register | Blocks 9-16</w:t>
      </w:r>
    </w:p>
    <w:p>
      <w:pPr>
        <w:keepNext w:val="0"/>
        <w:spacing w:before="0" w:after="100" w:line="240" w:lineRule="auto"/>
      </w:pPr>
      <w:r>
        <w:rPr>
          <w:rFonts w:ascii="Aptos" w:hAnsi="Aptos"/>
          <w:b w:val="0"/>
          <w:color w:val="5D665F"/>
          <w:sz w:val="18"/>
        </w:rPr>
        <w:t>Complete after teaching. Blank fields are correct before delivery.</w:t>
      </w:r>
    </w:p>
    <w:tbl>
      <w:tblPr>
        <w:tblLook w:firstColumn="1" w:firstRow="1" w:lastColumn="0" w:lastRow="0" w:noHBand="0" w:noVBand="1" w:val="04A0"/>
        <w:tblW w:w="15048" w:type="dxa"/>
        <w:tblInd w:w="0" w:type="dxa"/>
        <w:tblLayout w:type="fixed"/>
      </w:tblPr>
      <w:tblGrid>
        <w:gridCol w:w="500"/>
        <w:gridCol w:w="3300"/>
        <w:gridCol w:w="1000"/>
        <w:gridCol w:w="700"/>
        <w:gridCol w:w="2150"/>
        <w:gridCol w:w="2150"/>
        <w:gridCol w:w="2250"/>
        <w:gridCol w:w="2998"/>
      </w:tblGrid>
      <w:tr>
        <w:trPr>
          <w:cantSplit/>
          <w:tblHeader w:val="true"/>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P</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Planned focus</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Date</w:t>
            </w:r>
          </w:p>
        </w:tc>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Init.</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Completion / variance</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Evidence checked</w:t>
            </w:r>
          </w:p>
        </w:tc>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Adjustments</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Follow-up</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9</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W4 | Force, energy, Newton's laws and fair prototypes</w:t>
            </w:r>
            <w:r>
              <w:br/>
            </w:r>
            <w:r>
              <w:rPr>
                <w:rFonts w:ascii="Aptos" w:hAnsi="Aptos"/>
                <w:b w:val="0"/>
                <w:color w:val="222222"/>
                <w:sz w:val="17"/>
              </w:rPr>
              <w:t>Site/theory | m04</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10</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W4 | Prototype question and fair evidence</w:t>
            </w:r>
            <w:r>
              <w:br/>
            </w:r>
            <w:r>
              <w:rPr>
                <w:rFonts w:ascii="Aptos" w:hAnsi="Aptos"/>
                <w:b w:val="0"/>
                <w:color w:val="222222"/>
                <w:sz w:val="17"/>
              </w:rPr>
              <w:t>Practical | m04</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11</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W5 | Ideas and drawings that agree</w:t>
            </w:r>
            <w:r>
              <w:br/>
            </w:r>
            <w:r>
              <w:rPr>
                <w:rFonts w:ascii="Aptos" w:hAnsi="Aptos"/>
                <w:b w:val="0"/>
                <w:color w:val="222222"/>
                <w:sz w:val="17"/>
              </w:rPr>
              <w:t>Site/theory | m05</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12</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W5 | Cutting list, material arithmetic and design approval</w:t>
            </w:r>
            <w:r>
              <w:br/>
            </w:r>
            <w:r>
              <w:rPr>
                <w:rFonts w:ascii="Aptos" w:hAnsi="Aptos"/>
                <w:b w:val="0"/>
                <w:color w:val="222222"/>
                <w:sz w:val="17"/>
              </w:rPr>
              <w:t>Project/folio | m05</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13</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W5 | Approved transition from design to making</w:t>
            </w:r>
            <w:r>
              <w:br/>
            </w:r>
            <w:r>
              <w:rPr>
                <w:rFonts w:ascii="Aptos" w:hAnsi="Aptos"/>
                <w:b w:val="0"/>
                <w:color w:val="222222"/>
                <w:sz w:val="17"/>
              </w:rPr>
              <w:t>Practical | m05, m06</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14</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W6 | Production sequence, load paths and quality evidence</w:t>
            </w:r>
            <w:r>
              <w:br/>
            </w:r>
            <w:r>
              <w:rPr>
                <w:rFonts w:ascii="Aptos" w:hAnsi="Aptos"/>
                <w:b w:val="0"/>
                <w:color w:val="222222"/>
                <w:sz w:val="17"/>
              </w:rPr>
              <w:t>Site/theory | m06</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15</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W6 | Base/frame production and checkpoint evidence</w:t>
            </w:r>
            <w:r>
              <w:br/>
            </w:r>
            <w:r>
              <w:rPr>
                <w:rFonts w:ascii="Aptos" w:hAnsi="Aptos"/>
                <w:b w:val="0"/>
                <w:color w:val="222222"/>
                <w:sz w:val="17"/>
              </w:rPr>
              <w:t>Practical | m06</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16</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W7 | Component interaction, alignment and quality</w:t>
            </w:r>
            <w:r>
              <w:br/>
            </w:r>
            <w:r>
              <w:rPr>
                <w:rFonts w:ascii="Aptos" w:hAnsi="Aptos"/>
                <w:b w:val="0"/>
                <w:color w:val="222222"/>
                <w:sz w:val="17"/>
              </w:rPr>
              <w:t>Site/theory | m07</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bl>
    <w:p>
      <w:pPr>
        <w:keepNext/>
        <w:pageBreakBefore/>
        <w:spacing w:before="0" w:after="0" w:line="24" w:lineRule="auto"/>
      </w:pPr>
      <w:r>
        <w:rPr>
          <w:rFonts w:ascii="Aptos" w:hAnsi="Aptos"/>
          <w:b w:val="0"/>
          <w:color w:val="FFFFFF"/>
          <w:sz w:val="2"/>
        </w:rPr>
        <w:t xml:space="preserve"> </w:t>
      </w:r>
    </w:p>
    <w:p>
      <w:pPr>
        <w:pStyle w:val="Heading1"/>
        <w:keepNext/>
        <w:spacing w:before="0" w:after="60" w:line="240" w:lineRule="auto"/>
      </w:pPr>
      <w:r>
        <w:rPr>
          <w:rFonts w:ascii="Aptos Display" w:hAnsi="Aptos Display"/>
          <w:b/>
          <w:color w:val="174829"/>
          <w:sz w:val="36"/>
        </w:rPr>
        <w:t>Delivery register | Blocks 17-25</w:t>
      </w:r>
    </w:p>
    <w:p>
      <w:pPr>
        <w:keepNext w:val="0"/>
        <w:spacing w:before="0" w:after="100" w:line="240" w:lineRule="auto"/>
      </w:pPr>
      <w:r>
        <w:rPr>
          <w:rFonts w:ascii="Aptos" w:hAnsi="Aptos"/>
          <w:b w:val="0"/>
          <w:color w:val="5D665F"/>
          <w:sz w:val="18"/>
        </w:rPr>
        <w:t>Complete after teaching. Blank fields are correct before delivery.</w:t>
      </w:r>
    </w:p>
    <w:tbl>
      <w:tblPr>
        <w:tblLook w:firstColumn="1" w:firstRow="1" w:lastColumn="0" w:lastRow="0" w:noHBand="0" w:noVBand="1" w:val="04A0"/>
        <w:tblW w:w="15048" w:type="dxa"/>
        <w:tblInd w:w="0" w:type="dxa"/>
        <w:tblLayout w:type="fixed"/>
      </w:tblPr>
      <w:tblGrid>
        <w:gridCol w:w="500"/>
        <w:gridCol w:w="3300"/>
        <w:gridCol w:w="1000"/>
        <w:gridCol w:w="700"/>
        <w:gridCol w:w="2150"/>
        <w:gridCol w:w="2150"/>
        <w:gridCol w:w="2250"/>
        <w:gridCol w:w="2998"/>
      </w:tblGrid>
      <w:tr>
        <w:trPr>
          <w:cantSplit/>
          <w:tblHeader w:val="true"/>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P</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Planned focus</w:t>
            </w:r>
          </w:p>
        </w:tc>
        <w:tc>
          <w:tcPr>
            <w:tcW w:type="dxa" w:w="2"/>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Date</w:t>
            </w:r>
          </w:p>
        </w:tc>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Init.</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Completion / variance</w:t>
            </w:r>
          </w:p>
        </w:tc>
        <w:tc>
          <w:tcPr>
            <w:tcW w:type="dxa" w:w="3"/>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Evidence checked</w:t>
            </w:r>
          </w:p>
        </w:tc>
        <w:tc>
          <w:tcPr>
            <w:tcW w:type="dxa" w:w="4"/>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Adjustments</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174829"/>
          </w:tcPr>
          <w:p>
            <w:pPr>
              <w:spacing w:before="0" w:after="0" w:line="230" w:lineRule="auto"/>
              <w:jc w:val="left"/>
            </w:pPr>
            <w:r>
              <w:rPr>
                <w:rFonts w:ascii="Aptos" w:hAnsi="Aptos"/>
                <w:b/>
                <w:color w:val="FFFFFF"/>
                <w:sz w:val="19"/>
              </w:rPr>
              <w:t>Follow-up</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17</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W7 | Teacher-approved assembly and quality checks</w:t>
            </w:r>
            <w:r>
              <w:br/>
            </w:r>
            <w:r>
              <w:rPr>
                <w:rFonts w:ascii="Aptos" w:hAnsi="Aptos"/>
                <w:b w:val="0"/>
                <w:color w:val="222222"/>
                <w:sz w:val="17"/>
              </w:rPr>
              <w:t>Practical | m07</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18</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W7 | Production log and quality evidence conference</w:t>
            </w:r>
            <w:r>
              <w:br/>
            </w:r>
            <w:r>
              <w:rPr>
                <w:rFonts w:ascii="Aptos" w:hAnsi="Aptos"/>
                <w:b w:val="0"/>
                <w:color w:val="222222"/>
                <w:sz w:val="17"/>
              </w:rPr>
              <w:t>Project/folio | m06, m07</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19</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W8 | Testable questions, repeated data and redesign</w:t>
            </w:r>
            <w:r>
              <w:br/>
            </w:r>
            <w:r>
              <w:rPr>
                <w:rFonts w:ascii="Aptos" w:hAnsi="Aptos"/>
                <w:b w:val="0"/>
                <w:color w:val="222222"/>
                <w:sz w:val="17"/>
              </w:rPr>
              <w:t>Site/theory | m08</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20</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W8 | Teacher-controlled testing and one redesign decision</w:t>
            </w:r>
            <w:r>
              <w:br/>
            </w:r>
            <w:r>
              <w:rPr>
                <w:rFonts w:ascii="Aptos" w:hAnsi="Aptos"/>
                <w:b w:val="0"/>
                <w:color w:val="222222"/>
                <w:sz w:val="17"/>
              </w:rPr>
              <w:t>Practical | m08</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21</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W9 | Engineering report and evidence-based judgement</w:t>
            </w:r>
            <w:r>
              <w:br/>
            </w:r>
            <w:r>
              <w:rPr>
                <w:rFonts w:ascii="Aptos" w:hAnsi="Aptos"/>
                <w:b w:val="0"/>
                <w:color w:val="222222"/>
                <w:sz w:val="17"/>
              </w:rPr>
              <w:t>Site/theory | m09</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22</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W9 | Final teacher-approved adjustment and quality evidence</w:t>
            </w:r>
            <w:r>
              <w:br/>
            </w:r>
            <w:r>
              <w:rPr>
                <w:rFonts w:ascii="Aptos" w:hAnsi="Aptos"/>
                <w:b w:val="0"/>
                <w:color w:val="222222"/>
                <w:sz w:val="17"/>
              </w:rPr>
              <w:t>Practical | m07, m09</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23</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W9 | Sustainability, report completion and assessment preparation</w:t>
            </w:r>
            <w:r>
              <w:br/>
            </w:r>
            <w:r>
              <w:rPr>
                <w:rFonts w:ascii="Aptos" w:hAnsi="Aptos"/>
                <w:b w:val="0"/>
                <w:color w:val="222222"/>
                <w:sz w:val="17"/>
              </w:rPr>
              <w:t>Project/folio | m09</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24</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W10 | Demonstration, evaluation and connected systems</w:t>
            </w:r>
            <w:r>
              <w:br/>
            </w:r>
            <w:r>
              <w:rPr>
                <w:rFonts w:ascii="Aptos" w:hAnsi="Aptos"/>
                <w:b w:val="0"/>
                <w:color w:val="222222"/>
                <w:sz w:val="17"/>
              </w:rPr>
              <w:t>Site/theory | m10</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F3F6F0"/>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r>
        <w:trPr>
          <w:cantSplit/>
        </w:trPr>
        <w:tc>
          <w:tcPr>
            <w:tcW w:type="dxa" w:w="1"/>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25</w:t>
            </w:r>
          </w:p>
        </w:tc>
        <w:tc>
          <w:tcPr>
            <w:tcW w:type="dxa" w:w="5"/>
            <w:vAlign w:val="center"/>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W10 | Teacher-controlled demonstration and final evidence check</w:t>
            </w:r>
            <w:r>
              <w:br/>
            </w:r>
            <w:r>
              <w:rPr>
                <w:rFonts w:ascii="Aptos" w:hAnsi="Aptos"/>
                <w:b w:val="0"/>
                <w:color w:val="222222"/>
                <w:sz w:val="17"/>
              </w:rPr>
              <w:t>Practical | m10</w:t>
            </w:r>
          </w:p>
        </w:tc>
        <w:tc>
          <w:tcPr>
            <w:tcW w:type="dxa" w:w="2"/>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w:t>
            </w:r>
          </w:p>
        </w:tc>
        <w:tc>
          <w:tcPr>
            <w:tcW w:type="dxa" w:w="1"/>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Status:</w:t>
            </w:r>
            <w:r>
              <w:br/>
            </w:r>
            <w:r>
              <w:rPr>
                <w:rFonts w:ascii="Aptos" w:hAnsi="Aptos"/>
                <w:b w:val="0"/>
                <w:color w:val="222222"/>
                <w:sz w:val="17"/>
              </w:rPr>
              <w:t>________________</w:t>
            </w:r>
          </w:p>
        </w:tc>
        <w:tc>
          <w:tcPr>
            <w:tcW w:type="dxa" w:w="3"/>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4"/>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c>
          <w:tcPr>
            <w:tcW w:type="dxa" w:w="5"/>
            <w:vAlign w:val="top"/>
            <w:tcMar>
              <w:top w:w="55" w:type="dxa"/>
              <w:start w:w="80" w:type="dxa"/>
              <w:bottom w:w="55" w:type="dxa"/>
              <w:end w:w="80" w:type="dxa"/>
            </w:tcMar>
            <w:tcBorders>
              <w:top w:val="single" w:sz="4" w:color="D4DDD1"/>
              <w:left w:val="single" w:sz="4" w:color="D4DDD1"/>
              <w:bottom w:val="single" w:sz="4" w:color="D4DDD1"/>
              <w:right w:val="single" w:sz="4" w:color="D4DDD1"/>
              <w:insideH w:val="single" w:sz="4" w:color="D4DDD1"/>
              <w:insideV w:val="single" w:sz="4" w:color="D4DDD1"/>
            </w:tcBorders>
            <w:shd w:fill="EAF1E7"/>
          </w:tcPr>
          <w:p>
            <w:pPr>
              <w:spacing w:before="0" w:after="0" w:line="230" w:lineRule="auto"/>
              <w:jc w:val="left"/>
            </w:pPr>
            <w:r>
              <w:rPr>
                <w:rFonts w:ascii="Aptos" w:hAnsi="Aptos"/>
                <w:b w:val="0"/>
                <w:color w:val="222222"/>
                <w:sz w:val="17"/>
              </w:rPr>
              <w:t>________________</w:t>
            </w:r>
            <w:r>
              <w:br/>
            </w:r>
            <w:r>
              <w:rPr>
                <w:rFonts w:ascii="Aptos" w:hAnsi="Aptos"/>
                <w:b w:val="0"/>
                <w:color w:val="222222"/>
                <w:sz w:val="17"/>
              </w:rPr>
              <w:t>________________</w:t>
            </w:r>
          </w:p>
        </w:tc>
      </w:tr>
    </w:tbl>
    <w:sectPr w:rsidR="00002ED5" w:rsidSect="00034616">
      <w:headerReference w:type="even" r:id="rId8"/>
      <w:headerReference w:type="default" r:id="rId9"/>
      <w:footerReference w:type="even" r:id="rId10"/>
      <w:footerReference w:type="default" r:id="rId11"/>
      <w:headerReference w:type="first" r:id="rId12"/>
      <w:footerReference w:type="first" r:id="rId13"/>
      <w:pgSz w:w="16834" w:h="11909" w:orient="landscape"/>
      <w:pgMar w:top="691" w:right="893" w:bottom="691" w:left="893"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100F3" w14:textId="77777777" w:rsidR="00002ED5" w:rsidRDefault="00002ED5">
      <w:pPr>
        <w:spacing w:after="0"/>
      </w:pPr>
      <w:r>
        <w:separator/>
      </w:r>
    </w:p>
  </w:endnote>
  <w:endnote w:type="continuationSeparator" w:id="0">
    <w:p w14:paraId="6381E7A8" w14:textId="77777777" w:rsidR="00002ED5" w:rsidRDefault="00002E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D5A6" w14:textId="77777777" w:rsidR="00447C1C" w:rsidRDefault="00447C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97C5" w14:textId="77777777" w:rsidR="00540F26" w:rsidRDefault="00BD27BB">
    <w:pPr>
      <w:pStyle w:val="Footer"/>
      <w:jc w:val="center"/>
    </w:pPr>
    <w:r>
      <w:rPr>
        <w:color w:val="5F685F"/>
        <w:sz w:val="15"/>
      </w:rPr>
      <w:t xml:space="preserve">Wagga Wagga High School teaching resource  •  Page </w:t>
    </w:r>
    <w:r>
      <w:rPr>
        <w:color w:val="5F685F"/>
        <w:sz w:val="15"/>
      </w:rPr>
      <w:fldChar w:fldCharType="begin"/>
    </w:r>
    <w:r>
      <w:rPr>
        <w:color w:val="5F685F"/>
        <w:sz w:val="15"/>
      </w:rPr>
      <w:instrText>PAGE</w:instrText>
    </w:r>
    <w:r>
      <w:rPr>
        <w:color w:val="5F685F"/>
        <w:sz w:val="15"/>
      </w:rPr>
      <w:fldChar w:fldCharType="separate"/>
    </w:r>
    <w:r w:rsidR="00447C1C">
      <w:rPr>
        <w:noProof/>
        <w:color w:val="5F685F"/>
        <w:sz w:val="15"/>
      </w:rPr>
      <w:t>1</w:t>
    </w:r>
    <w:r>
      <w:rPr>
        <w:color w:val="5F685F"/>
        <w:sz w:val="15"/>
      </w:rPr>
      <w:fldChar w:fldCharType="end"/>
    </w:r>
    <w:r>
      <w:rPr>
        <w:color w:val="5F685F"/>
        <w:sz w:val="15"/>
      </w:rPr>
      <w:t xml:space="preserve"> of </w:t>
    </w:r>
    <w:r>
      <w:rPr>
        <w:color w:val="5F685F"/>
        <w:sz w:val="15"/>
      </w:rPr>
      <w:fldChar w:fldCharType="begin"/>
    </w:r>
    <w:r>
      <w:rPr>
        <w:color w:val="5F685F"/>
        <w:sz w:val="15"/>
      </w:rPr>
      <w:instrText>NUMPAGES</w:instrText>
    </w:r>
    <w:r>
      <w:rPr>
        <w:color w:val="5F685F"/>
        <w:sz w:val="15"/>
      </w:rPr>
      <w:fldChar w:fldCharType="separate"/>
    </w:r>
    <w:r w:rsidR="00447C1C">
      <w:rPr>
        <w:noProof/>
        <w:color w:val="5F685F"/>
        <w:sz w:val="15"/>
      </w:rPr>
      <w:t>2</w:t>
    </w:r>
    <w:r>
      <w:rPr>
        <w:color w:val="5F685F"/>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74FF" w14:textId="77777777" w:rsidR="00447C1C" w:rsidRDefault="00447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27D64" w14:textId="77777777" w:rsidR="00002ED5" w:rsidRDefault="00002ED5">
      <w:pPr>
        <w:spacing w:after="0"/>
      </w:pPr>
      <w:r>
        <w:separator/>
      </w:r>
    </w:p>
  </w:footnote>
  <w:footnote w:type="continuationSeparator" w:id="0">
    <w:p w14:paraId="7F985B2B" w14:textId="77777777" w:rsidR="00002ED5" w:rsidRDefault="00002E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2014" w14:textId="77777777" w:rsidR="00447C1C" w:rsidRDefault="00447C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50FC" w14:textId="77777777" w:rsidR="00540F26" w:rsidRDefault="00BD27BB">
    <w:pPr>
      <w:pStyle w:val="Header"/>
      <w:jc w:val="right"/>
    </w:pPr>
    <w:r>
      <w:rPr>
        <w:rFonts w:ascii="Aptos" w:hAnsi="Aptos"/>
        <w:b/>
        <w:color w:val="315D3A"/>
        <w:sz w:val="15"/>
      </w:rPr>
      <w:t>CATAPULT  |  TECHNOLOGY 7-8  |  DELIVERY REGISTER v1.0.0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64B4" w14:textId="77777777" w:rsidR="00447C1C" w:rsidRDefault="00447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104871">
    <w:abstractNumId w:val="8"/>
  </w:num>
  <w:num w:numId="2" w16cid:durableId="1635258495">
    <w:abstractNumId w:val="6"/>
  </w:num>
  <w:num w:numId="3" w16cid:durableId="1375035242">
    <w:abstractNumId w:val="5"/>
  </w:num>
  <w:num w:numId="4" w16cid:durableId="977994770">
    <w:abstractNumId w:val="4"/>
  </w:num>
  <w:num w:numId="5" w16cid:durableId="1816482890">
    <w:abstractNumId w:val="7"/>
  </w:num>
  <w:num w:numId="6" w16cid:durableId="193882207">
    <w:abstractNumId w:val="3"/>
  </w:num>
  <w:num w:numId="7" w16cid:durableId="599604716">
    <w:abstractNumId w:val="2"/>
  </w:num>
  <w:num w:numId="8" w16cid:durableId="2009399760">
    <w:abstractNumId w:val="1"/>
  </w:num>
  <w:num w:numId="9" w16cid:durableId="304941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D5"/>
    <w:rsid w:val="00034616"/>
    <w:rsid w:val="0006063C"/>
    <w:rsid w:val="0015074B"/>
    <w:rsid w:val="001C6442"/>
    <w:rsid w:val="0029639D"/>
    <w:rsid w:val="00326F90"/>
    <w:rsid w:val="00447C1C"/>
    <w:rsid w:val="0053257A"/>
    <w:rsid w:val="00540F26"/>
    <w:rsid w:val="007D7330"/>
    <w:rsid w:val="00AA1D8D"/>
    <w:rsid w:val="00B47730"/>
    <w:rsid w:val="00BD27BB"/>
    <w:rsid w:val="00CB0664"/>
    <w:rsid w:val="00E179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A51A6"/>
  <w14:defaultImageDpi w14:val="300"/>
  <w15:docId w15:val="{F407FA45-A09D-4D32-B5C3-B76CCE70AF6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eastAsia="Aptos" w:hAnsi="Aptos"/>
      <w:color w:val="243024"/>
      <w:sz w:val="18"/>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7482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174829"/>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B640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3390</Words>
  <Characters>19325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Catapult delivery register</dc:title>
  <dc:subject>Year 8 Technology Mandatory - Engineering technologies and systems</dc:subject>
  <dc:creator>Prepared for teacher review</dc:creator>
  <cp:keywords>Technology 7-8, Catapult, delivery register</cp:keywords>
  <dc:description>Blank-ready implementation record for the provisional 25-block Catapult planning scaffold.</dc:description>
  <cp:lastModifiedBy>Prepared for teacher review</cp:lastModifiedBy>
  <cp:revision>3</cp:revision>
  <dcterms:created xsi:type="dcterms:W3CDTF">2013-12-23T23:15:00Z</dcterms:created>
  <dcterms:modified xsi:type="dcterms:W3CDTF">2026-08-17T02:45:00Z</dcterms:modified>
  <cp:category/>
</cp:coreProperties>
</file>