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8D9FF"/>
          <w:sz w:val="24"/>
        </w:rPr>
        <w:t>CRACK THE CODE</w:t>
      </w:r>
    </w:p>
    <w:p>
      <w:pPr>
        <w:jc w:val="center"/>
      </w:pPr>
      <w:r>
        <w:rPr>
          <w:b/>
          <w:color w:val="071A2B"/>
          <w:sz w:val="60"/>
        </w:rPr>
        <w:t>10-week teaching program and scope sequence</w:t>
      </w:r>
    </w:p>
    <w:p>
      <w:pPr>
        <w:jc w:val="center"/>
      </w:pPr>
      <w:r>
        <w:rPr>
          <w:color w:val="0B6076"/>
          <w:sz w:val="32"/>
        </w:rPr>
        <w:t>Year 7–8 Technology · data and digital systems · ThinkerShield alarm project</w:t>
      </w:r>
    </w:p>
    <w:p/>
    <w:tbl>
      <w:tblPr>
        <w:tblW w:type="dxa" w:w="13680"/>
        <w:tblLayout w:type="fixed"/>
        <w:tblLook w:firstColumn="1" w:firstRow="1" w:lastColumn="0" w:lastRow="0" w:noHBand="0" w:noVBand="1" w:val="04A0"/>
        <w:jc w:val="center"/>
        <w:tblInd w:type="dxa" w:w="120"/>
      </w:tblPr>
      <w:tblGrid>
        <w:gridCol w:w="2709"/>
        <w:gridCol w:w="10971"/>
      </w:tblGrid>
      <w:tr>
        <w:trPr>
          <w:tblHeader/>
        </w:trPr>
        <w:tc>
          <w:tcPr>
            <w:tcW w:type="dxa" w:w="270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Program field</w:t>
            </w:r>
          </w:p>
        </w:tc>
        <w:tc>
          <w:tcPr>
            <w:tcW w:type="dxa" w:w="10971"/>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Current position</w:t>
            </w:r>
          </w:p>
        </w:tc>
      </w:tr>
      <w:tr>
        <w:trPr/>
        <w:tc>
          <w:tcPr>
            <w:tcW w:type="dxa" w:w="2709"/>
            <w:vAlign w:val="center"/>
            <w:tcMar>
              <w:top w:w="80" w:type="dxa"/>
              <w:start w:w="120" w:type="dxa"/>
              <w:bottom w:w="80" w:type="dxa"/>
              <w:end w:w="120" w:type="dxa"/>
            </w:tcMar>
          </w:tcPr>
          <w:p>
            <w:pPr>
              <w:spacing w:after="40" w:line="252" w:lineRule="auto"/>
            </w:pPr>
            <w:r/>
            <w:r>
              <w:rPr>
                <w:rFonts w:ascii="Calibri" w:hAnsi="Calibri"/>
                <w:b w:val="0"/>
                <w:color w:val="10283B"/>
                <w:sz w:val="16"/>
              </w:rPr>
              <w:t>Syllabus</w:t>
            </w:r>
          </w:p>
        </w:tc>
        <w:tc>
          <w:tcPr>
            <w:tcW w:type="dxa" w:w="10971"/>
            <w:vAlign w:val="center"/>
            <w:tcMar>
              <w:top w:w="80" w:type="dxa"/>
              <w:start w:w="120" w:type="dxa"/>
              <w:bottom w:w="80" w:type="dxa"/>
              <w:end w:w="120" w:type="dxa"/>
            </w:tcMar>
          </w:tcPr>
          <w:p>
            <w:pPr>
              <w:spacing w:after="40" w:line="252" w:lineRule="auto"/>
            </w:pPr>
            <w:r/>
            <w:r>
              <w:rPr>
                <w:rFonts w:ascii="Calibri" w:hAnsi="Calibri"/>
                <w:b w:val="0"/>
                <w:color w:val="10283B"/>
                <w:sz w:val="16"/>
              </w:rPr>
              <w:t>NSW Technology 7–8 Syllabus (2023), implementation from 2026</w:t>
            </w:r>
          </w:p>
        </w:tc>
      </w:tr>
      <w:tr>
        <w:trPr/>
        <w:tc>
          <w:tcPr>
            <w:tcW w:type="dxa" w:w="2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Duration</w:t>
            </w:r>
          </w:p>
        </w:tc>
        <w:tc>
          <w:tcPr>
            <w:tcW w:type="dxa" w:w="1097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10 weeks; exact lesson allocation Teacher to confirm</w:t>
            </w:r>
          </w:p>
        </w:tc>
      </w:tr>
      <w:tr>
        <w:trPr/>
        <w:tc>
          <w:tcPr>
            <w:tcW w:type="dxa" w:w="2709"/>
            <w:vAlign w:val="center"/>
            <w:tcMar>
              <w:top w:w="80" w:type="dxa"/>
              <w:start w:w="120" w:type="dxa"/>
              <w:bottom w:w="80" w:type="dxa"/>
              <w:end w:w="120" w:type="dxa"/>
            </w:tcMar>
          </w:tcPr>
          <w:p>
            <w:pPr>
              <w:spacing w:after="40" w:line="252" w:lineRule="auto"/>
            </w:pPr>
            <w:r/>
            <w:r>
              <w:rPr>
                <w:rFonts w:ascii="Calibri" w:hAnsi="Calibri"/>
                <w:b w:val="0"/>
                <w:color w:val="10283B"/>
                <w:sz w:val="16"/>
              </w:rPr>
              <w:t>Central outcome</w:t>
            </w:r>
          </w:p>
        </w:tc>
        <w:tc>
          <w:tcPr>
            <w:tcW w:type="dxa" w:w="10971"/>
            <w:vAlign w:val="center"/>
            <w:tcMar>
              <w:top w:w="80" w:type="dxa"/>
              <w:start w:w="120" w:type="dxa"/>
              <w:bottom w:w="80" w:type="dxa"/>
              <w:end w:w="120" w:type="dxa"/>
            </w:tcMar>
          </w:tcPr>
          <w:p>
            <w:pPr>
              <w:spacing w:after="40" w:line="252" w:lineRule="auto"/>
            </w:pPr>
            <w:r/>
            <w:r>
              <w:rPr>
                <w:rFonts w:ascii="Calibri" w:hAnsi="Calibri"/>
                <w:b w:val="0"/>
                <w:color w:val="10283B"/>
                <w:sz w:val="16"/>
              </w:rPr>
              <w:t>TE4-DIG-02 — uses data and digital systems to code, design and produce projects</w:t>
            </w:r>
          </w:p>
        </w:tc>
      </w:tr>
      <w:tr>
        <w:trPr/>
        <w:tc>
          <w:tcPr>
            <w:tcW w:type="dxa" w:w="2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Primary course evidence</w:t>
            </w:r>
          </w:p>
        </w:tc>
        <w:tc>
          <w:tcPr>
            <w:tcW w:type="dxa" w:w="1097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Authorised archived Classroom classwork and teacher-master Drive folder</w:t>
            </w:r>
          </w:p>
        </w:tc>
      </w:tr>
      <w:tr>
        <w:trPr/>
        <w:tc>
          <w:tcPr>
            <w:tcW w:type="dxa" w:w="2709"/>
            <w:vAlign w:val="center"/>
            <w:tcMar>
              <w:top w:w="80" w:type="dxa"/>
              <w:start w:w="120" w:type="dxa"/>
              <w:bottom w:w="80" w:type="dxa"/>
              <w:end w:w="120" w:type="dxa"/>
            </w:tcMar>
          </w:tcPr>
          <w:p>
            <w:pPr>
              <w:spacing w:after="40" w:line="252" w:lineRule="auto"/>
            </w:pPr>
            <w:r/>
            <w:r>
              <w:rPr>
                <w:rFonts w:ascii="Calibri" w:hAnsi="Calibri"/>
                <w:b w:val="0"/>
                <w:color w:val="10283B"/>
                <w:sz w:val="16"/>
              </w:rPr>
              <w:t>Final challenge</w:t>
            </w:r>
          </w:p>
        </w:tc>
        <w:tc>
          <w:tcPr>
            <w:tcW w:type="dxa" w:w="10971"/>
            <w:vAlign w:val="center"/>
            <w:tcMar>
              <w:top w:w="80" w:type="dxa"/>
              <w:start w:w="120" w:type="dxa"/>
              <w:bottom w:w="80" w:type="dxa"/>
              <w:end w:w="120" w:type="dxa"/>
            </w:tcMar>
          </w:tcPr>
          <w:p>
            <w:pPr>
              <w:spacing w:after="40" w:line="252" w:lineRule="auto"/>
            </w:pPr>
            <w:r/>
            <w:r>
              <w:rPr>
                <w:rFonts w:ascii="Calibri" w:hAnsi="Calibri"/>
                <w:b w:val="0"/>
                <w:color w:val="10283B"/>
                <w:sz w:val="16"/>
              </w:rPr>
              <w:t>Design, produce and evaluate a ThinkerShield alarm or alert that protects something the student cares about</w:t>
            </w:r>
          </w:p>
        </w:tc>
      </w:tr>
      <w:tr>
        <w:trPr/>
        <w:tc>
          <w:tcPr>
            <w:tcW w:type="dxa" w:w="2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Administrative boundary</w:t>
            </w:r>
          </w:p>
        </w:tc>
        <w:tc>
          <w:tcPr>
            <w:tcW w:type="dxa" w:w="1097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Dates, marks, rubric, submission route, equipment access and current risk controls: Teacher to confirm</w:t>
            </w:r>
          </w:p>
        </w:tc>
      </w:tr>
    </w:tbl>
    <w:p/>
    <w:p>
      <w:pPr>
        <w:jc w:val="center"/>
      </w:pPr>
      <w:r>
        <w:rPr>
          <w:b/>
          <w:color w:val="0B6076"/>
        </w:rPr>
        <w:t>Document status: source-bound implementation draft for faculty review and current-school confirmation.</w:t>
      </w:r>
    </w:p>
    <w:p>
      <w:r>
        <w:br w:type="page"/>
      </w:r>
    </w:p>
    <w:p>
      <w:pPr>
        <w:pStyle w:val="Heading1"/>
      </w:pPr>
      <w:r>
        <w:t>1. Program rationale and learning design</w:t>
      </w:r>
    </w:p>
    <w:p>
      <w:r>
        <w:t>Crack the Code develops technological literacy through a coherent progression from control-system concepts to an independently planned alarm project. Students read real sensor data, express algorithms in several representations, code fixed inputs and outputs, test predicted behaviour, debug systematically and evaluate the result against evidence.</w:t>
      </w:r>
    </w:p>
    <w:p>
      <w:pPr>
        <w:pStyle w:val="Heading2"/>
      </w:pPr>
      <w:r>
        <w:t>Student learning package</w:t>
      </w:r>
    </w:p>
    <w:p>
      <w:pPr>
        <w:pStyle w:val="ListBullet"/>
      </w:pPr>
      <w:r>
        <w:t>Ten dedicated modules; each contains three named theory sections.</w:t>
      </w:r>
    </w:p>
    <w:p>
      <w:pPr>
        <w:pStyle w:val="ListBullet"/>
      </w:pPr>
      <w:r>
        <w:t>Ten adjacent knowledge-check questions and one guided written response for every theory section.</w:t>
      </w:r>
    </w:p>
    <w:p>
      <w:pPr>
        <w:pStyle w:val="ListBullet"/>
      </w:pPr>
      <w:r>
        <w:t>A student-controlled video, purposeful diagram and eight-slide learning presentation for every module sequence.</w:t>
      </w:r>
    </w:p>
    <w:p>
      <w:pPr>
        <w:pStyle w:val="ListBullet"/>
      </w:pPr>
      <w:r>
        <w:t>Ten autosaving activity studios covering all sixteen authorised practical tasks.</w:t>
      </w:r>
    </w:p>
    <w:p>
      <w:pPr>
        <w:pStyle w:val="ListBullet"/>
      </w:pPr>
      <w:r>
        <w:t>A consolidated device-local folio with backup, restore and print functions.</w:t>
      </w:r>
    </w:p>
    <w:p>
      <w:pPr>
        <w:pStyle w:val="ListBullet"/>
      </w:pPr>
      <w:r>
        <w:t>Assessment and teacher pages that mark every unset administrative fact as Teacher to confirm.</w:t>
      </w:r>
    </w:p>
    <w:p>
      <w:pPr>
        <w:pStyle w:val="Heading2"/>
      </w:pPr>
      <w:r>
        <w:t>Course constraints and source corrections</w:t>
      </w:r>
    </w:p>
    <w:p>
      <w:pPr>
        <w:pStyle w:val="ListBullet"/>
      </w:pPr>
      <w:r>
        <w:t>Fixed inputs: button pin 7, LDR A4, potentiometer A5. Fixed outputs: LEDs pins 8–13 and buzzer pin 3.</w:t>
      </w:r>
    </w:p>
    <w:p>
      <w:pPr>
        <w:pStyle w:val="ListBullet"/>
      </w:pPr>
      <w:r>
        <w:t>Historical dates and the earlier 20-mark rubric are evidence of an older delivery only; they are not current facts.</w:t>
      </w:r>
    </w:p>
    <w:p>
      <w:pPr>
        <w:pStyle w:val="ListBullet"/>
      </w:pPr>
      <w:r>
        <w:t>The new-syllabus meaning of branching is used: a conditional instruction selects different actions.</w:t>
      </w:r>
    </w:p>
    <w:p>
      <w:pPr>
        <w:pStyle w:val="ListBullet"/>
      </w:pPr>
      <w:r>
        <w:t>Device-local website autosave does not upload to Drive or submit to Classroom.</w:t>
      </w:r>
    </w:p>
    <w:p>
      <w:pPr>
        <w:pStyle w:val="ListBullet"/>
      </w:pPr>
      <w:r>
        <w:t>No practical work is authorised outside teacher-directed classroom conditions.</w:t>
      </w:r>
    </w:p>
    <w:p>
      <w:r>
        <w:br w:type="page"/>
      </w:r>
    </w:p>
    <w:p>
      <w:pPr>
        <w:pStyle w:val="Heading1"/>
      </w:pPr>
      <w:r>
        <w:t>2. NSW Technology 7–8 outcome alignment</w:t>
      </w:r>
    </w:p>
    <w:tbl>
      <w:tblPr>
        <w:tblW w:type="dxa" w:w="13680"/>
        <w:tblLayout w:type="fixed"/>
        <w:tblLook w:firstColumn="1" w:firstRow="1" w:lastColumn="0" w:lastRow="0" w:noHBand="0" w:noVBand="1" w:val="04A0"/>
        <w:jc w:val="center"/>
        <w:tblInd w:type="dxa" w:w="120"/>
      </w:tblPr>
      <w:tblGrid>
        <w:gridCol w:w="1558"/>
        <w:gridCol w:w="4808"/>
        <w:gridCol w:w="7314"/>
      </w:tblGrid>
      <w:tr>
        <w:trPr>
          <w:tblHeader/>
        </w:trPr>
        <w:tc>
          <w:tcPr>
            <w:tcW w:type="dxa" w:w="1558"/>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Outcome</w:t>
            </w:r>
          </w:p>
        </w:tc>
        <w:tc>
          <w:tcPr>
            <w:tcW w:type="dxa" w:w="4808"/>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Authoritative outcome wording</w:t>
            </w:r>
          </w:p>
        </w:tc>
        <w:tc>
          <w:tcPr>
            <w:tcW w:type="dxa" w:w="731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How this unit provides evidence</w:t>
            </w:r>
          </w:p>
        </w:tc>
      </w:tr>
      <w:tr>
        <w:trPr/>
        <w:tc>
          <w:tcPr>
            <w:tcW w:type="dxa" w:w="1558"/>
            <w:vAlign w:val="center"/>
            <w:tcMar>
              <w:top w:w="80" w:type="dxa"/>
              <w:start w:w="120" w:type="dxa"/>
              <w:bottom w:w="80" w:type="dxa"/>
              <w:end w:w="120" w:type="dxa"/>
            </w:tcMar>
          </w:tcPr>
          <w:p>
            <w:pPr>
              <w:spacing w:after="40" w:line="252" w:lineRule="auto"/>
            </w:pPr>
            <w:r/>
            <w:r>
              <w:rPr>
                <w:rFonts w:ascii="Calibri" w:hAnsi="Calibri"/>
                <w:b w:val="0"/>
                <w:color w:val="10283B"/>
                <w:sz w:val="16"/>
              </w:rPr>
              <w:t>TE4-SDP-01</w:t>
            </w:r>
          </w:p>
        </w:tc>
        <w:tc>
          <w:tcPr>
            <w:tcW w:type="dxa" w:w="4808"/>
            <w:vAlign w:val="center"/>
            <w:tcMar>
              <w:top w:w="80" w:type="dxa"/>
              <w:start w:w="120" w:type="dxa"/>
              <w:bottom w:w="80" w:type="dxa"/>
              <w:end w:w="120" w:type="dxa"/>
            </w:tcMar>
          </w:tcPr>
          <w:p>
            <w:pPr>
              <w:spacing w:after="40" w:line="252" w:lineRule="auto"/>
            </w:pPr>
            <w:r/>
            <w:r>
              <w:rPr>
                <w:rFonts w:ascii="Calibri" w:hAnsi="Calibri"/>
                <w:b w:val="0"/>
                <w:color w:val="10283B"/>
                <w:sz w:val="16"/>
              </w:rPr>
              <w:t>explains relationships between sustainability, design and production</w:t>
            </w:r>
          </w:p>
        </w:tc>
        <w:tc>
          <w:tcPr>
            <w:tcW w:type="dxa" w:w="7314"/>
            <w:vAlign w:val="center"/>
            <w:tcMar>
              <w:top w:w="80" w:type="dxa"/>
              <w:start w:w="120" w:type="dxa"/>
              <w:bottom w:w="80" w:type="dxa"/>
              <w:end w:w="120" w:type="dxa"/>
            </w:tcMar>
          </w:tcPr>
          <w:p>
            <w:pPr>
              <w:spacing w:after="40" w:line="252" w:lineRule="auto"/>
            </w:pPr>
            <w:r/>
            <w:r>
              <w:rPr>
                <w:rFonts w:ascii="Calibri" w:hAnsi="Calibri"/>
                <w:b w:val="0"/>
                <w:color w:val="10283B"/>
                <w:sz w:val="16"/>
              </w:rPr>
              <w:t>Students consider purposeful design decisions and responsible use of equipment and digital work.</w:t>
            </w:r>
          </w:p>
        </w:tc>
      </w:tr>
      <w:tr>
        <w:trPr/>
        <w:tc>
          <w:tcPr>
            <w:tcW w:type="dxa" w:w="155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TE4-PDP-01</w:t>
            </w:r>
          </w:p>
        </w:tc>
        <w:tc>
          <w:tcPr>
            <w:tcW w:type="dxa" w:w="480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describes the practices and processes of designers and producers</w:t>
            </w:r>
          </w:p>
        </w:tc>
        <w:tc>
          <w:tcPr>
            <w:tcW w:type="dxa" w:w="731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Students follow a design, coding, production, testing and evaluation process.</w:t>
            </w:r>
          </w:p>
        </w:tc>
      </w:tr>
      <w:tr>
        <w:trPr/>
        <w:tc>
          <w:tcPr>
            <w:tcW w:type="dxa" w:w="1558"/>
            <w:vAlign w:val="center"/>
            <w:tcMar>
              <w:top w:w="80" w:type="dxa"/>
              <w:start w:w="120" w:type="dxa"/>
              <w:bottom w:w="80" w:type="dxa"/>
              <w:end w:w="120" w:type="dxa"/>
            </w:tcMar>
          </w:tcPr>
          <w:p>
            <w:pPr>
              <w:spacing w:after="40" w:line="252" w:lineRule="auto"/>
            </w:pPr>
            <w:r/>
            <w:r>
              <w:rPr>
                <w:rFonts w:ascii="Calibri" w:hAnsi="Calibri"/>
                <w:b w:val="0"/>
                <w:color w:val="10283B"/>
                <w:sz w:val="16"/>
              </w:rPr>
              <w:t>TE4-MSC-01</w:t>
            </w:r>
          </w:p>
        </w:tc>
        <w:tc>
          <w:tcPr>
            <w:tcW w:type="dxa" w:w="4808"/>
            <w:vAlign w:val="center"/>
            <w:tcMar>
              <w:top w:w="80" w:type="dxa"/>
              <w:start w:w="120" w:type="dxa"/>
              <w:bottom w:w="80" w:type="dxa"/>
              <w:end w:w="120" w:type="dxa"/>
            </w:tcMar>
          </w:tcPr>
          <w:p>
            <w:pPr>
              <w:spacing w:after="40" w:line="252" w:lineRule="auto"/>
            </w:pPr>
            <w:r/>
            <w:r>
              <w:rPr>
                <w:rFonts w:ascii="Calibri" w:hAnsi="Calibri"/>
                <w:b w:val="0"/>
                <w:color w:val="10283B"/>
                <w:sz w:val="16"/>
              </w:rPr>
              <w:t>explains how materials, systems and components contribute to solutions</w:t>
            </w:r>
          </w:p>
        </w:tc>
        <w:tc>
          <w:tcPr>
            <w:tcW w:type="dxa" w:w="7314"/>
            <w:vAlign w:val="center"/>
            <w:tcMar>
              <w:top w:w="80" w:type="dxa"/>
              <w:start w:w="120" w:type="dxa"/>
              <w:bottom w:w="80" w:type="dxa"/>
              <w:end w:w="120" w:type="dxa"/>
            </w:tcMar>
          </w:tcPr>
          <w:p>
            <w:pPr>
              <w:spacing w:after="40" w:line="252" w:lineRule="auto"/>
            </w:pPr>
            <w:r/>
            <w:r>
              <w:rPr>
                <w:rFonts w:ascii="Calibri" w:hAnsi="Calibri"/>
                <w:b w:val="0"/>
                <w:color w:val="10283B"/>
                <w:sz w:val="16"/>
              </w:rPr>
              <w:t>Students explain how sensors, microcontroller, code, LEDs and buzzer interact.</w:t>
            </w:r>
          </w:p>
        </w:tc>
      </w:tr>
      <w:tr>
        <w:trPr/>
        <w:tc>
          <w:tcPr>
            <w:tcW w:type="dxa" w:w="155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TE4-PPM-01</w:t>
            </w:r>
          </w:p>
        </w:tc>
        <w:tc>
          <w:tcPr>
            <w:tcW w:type="dxa" w:w="480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applies processes in the planning, management and production of projects</w:t>
            </w:r>
          </w:p>
        </w:tc>
        <w:tc>
          <w:tcPr>
            <w:tcW w:type="dxa" w:w="731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Students plan, produce, test and refine a complete alarm project.</w:t>
            </w:r>
          </w:p>
        </w:tc>
      </w:tr>
      <w:tr>
        <w:trPr/>
        <w:tc>
          <w:tcPr>
            <w:tcW w:type="dxa" w:w="1558"/>
            <w:vAlign w:val="center"/>
            <w:tcMar>
              <w:top w:w="80" w:type="dxa"/>
              <w:start w:w="120" w:type="dxa"/>
              <w:bottom w:w="80" w:type="dxa"/>
              <w:end w:w="120" w:type="dxa"/>
            </w:tcMar>
          </w:tcPr>
          <w:p>
            <w:pPr>
              <w:spacing w:after="40" w:line="252" w:lineRule="auto"/>
            </w:pPr>
            <w:r/>
            <w:r>
              <w:rPr>
                <w:rFonts w:ascii="Calibri" w:hAnsi="Calibri"/>
                <w:b w:val="0"/>
                <w:color w:val="10283B"/>
                <w:sz w:val="16"/>
              </w:rPr>
              <w:t>TE4-DES-01</w:t>
            </w:r>
          </w:p>
        </w:tc>
        <w:tc>
          <w:tcPr>
            <w:tcW w:type="dxa" w:w="4808"/>
            <w:vAlign w:val="center"/>
            <w:tcMar>
              <w:top w:w="80" w:type="dxa"/>
              <w:start w:w="120" w:type="dxa"/>
              <w:bottom w:w="80" w:type="dxa"/>
              <w:end w:w="120" w:type="dxa"/>
            </w:tcMar>
          </w:tcPr>
          <w:p>
            <w:pPr>
              <w:spacing w:after="40" w:line="252" w:lineRule="auto"/>
            </w:pPr>
            <w:r/>
            <w:r>
              <w:rPr>
                <w:rFonts w:ascii="Calibri" w:hAnsi="Calibri"/>
                <w:b w:val="0"/>
                <w:color w:val="10283B"/>
                <w:sz w:val="16"/>
              </w:rPr>
              <w:t>communicates and evaluates design ideas and solutions</w:t>
            </w:r>
          </w:p>
        </w:tc>
        <w:tc>
          <w:tcPr>
            <w:tcW w:type="dxa" w:w="7314"/>
            <w:vAlign w:val="center"/>
            <w:tcMar>
              <w:top w:w="80" w:type="dxa"/>
              <w:start w:w="120" w:type="dxa"/>
              <w:bottom w:w="80" w:type="dxa"/>
              <w:end w:w="120" w:type="dxa"/>
            </w:tcMar>
          </w:tcPr>
          <w:p>
            <w:pPr>
              <w:spacing w:after="40" w:line="252" w:lineRule="auto"/>
            </w:pPr>
            <w:r/>
            <w:r>
              <w:rPr>
                <w:rFonts w:ascii="Calibri" w:hAnsi="Calibri"/>
                <w:b w:val="0"/>
                <w:color w:val="10283B"/>
                <w:sz w:val="16"/>
              </w:rPr>
              <w:t>Students use IPO, pseudocode, flowcharts, criteria, test evidence and evaluation.</w:t>
            </w:r>
          </w:p>
        </w:tc>
      </w:tr>
      <w:tr>
        <w:trPr/>
        <w:tc>
          <w:tcPr>
            <w:tcW w:type="dxa" w:w="155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TE4-SAF-01</w:t>
            </w:r>
          </w:p>
        </w:tc>
        <w:tc>
          <w:tcPr>
            <w:tcW w:type="dxa" w:w="480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selects and safely uses tools, materials, technologies and processes</w:t>
            </w:r>
          </w:p>
        </w:tc>
        <w:tc>
          <w:tcPr>
            <w:tcW w:type="dxa" w:w="731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Students follow teacher-directed board handling, connection and classroom testing routines.</w:t>
            </w:r>
          </w:p>
        </w:tc>
      </w:tr>
      <w:tr>
        <w:trPr/>
        <w:tc>
          <w:tcPr>
            <w:tcW w:type="dxa" w:w="1558"/>
            <w:vAlign w:val="center"/>
            <w:tcMar>
              <w:top w:w="80" w:type="dxa"/>
              <w:start w:w="120" w:type="dxa"/>
              <w:bottom w:w="80" w:type="dxa"/>
              <w:end w:w="120" w:type="dxa"/>
            </w:tcMar>
          </w:tcPr>
          <w:p>
            <w:pPr>
              <w:spacing w:after="40" w:line="252" w:lineRule="auto"/>
            </w:pPr>
            <w:r/>
            <w:r>
              <w:rPr>
                <w:rFonts w:ascii="Calibri" w:hAnsi="Calibri"/>
                <w:b w:val="0"/>
                <w:color w:val="10283B"/>
                <w:sz w:val="16"/>
              </w:rPr>
              <w:t>TE4-DIG-01</w:t>
            </w:r>
          </w:p>
        </w:tc>
        <w:tc>
          <w:tcPr>
            <w:tcW w:type="dxa" w:w="4808"/>
            <w:vAlign w:val="center"/>
            <w:tcMar>
              <w:top w:w="80" w:type="dxa"/>
              <w:start w:w="120" w:type="dxa"/>
              <w:bottom w:w="80" w:type="dxa"/>
              <w:end w:w="120" w:type="dxa"/>
            </w:tcMar>
          </w:tcPr>
          <w:p>
            <w:pPr>
              <w:spacing w:after="40" w:line="252" w:lineRule="auto"/>
            </w:pPr>
            <w:r/>
            <w:r>
              <w:rPr>
                <w:rFonts w:ascii="Calibri" w:hAnsi="Calibri"/>
                <w:b w:val="0"/>
                <w:color w:val="10283B"/>
                <w:sz w:val="16"/>
              </w:rPr>
              <w:t>demonstrates technological literacy to safely interact in digital environments</w:t>
            </w:r>
          </w:p>
        </w:tc>
        <w:tc>
          <w:tcPr>
            <w:tcW w:type="dxa" w:w="7314"/>
            <w:vAlign w:val="center"/>
            <w:tcMar>
              <w:top w:w="80" w:type="dxa"/>
              <w:start w:w="120" w:type="dxa"/>
              <w:bottom w:w="80" w:type="dxa"/>
              <w:end w:w="120" w:type="dxa"/>
            </w:tcMar>
          </w:tcPr>
          <w:p>
            <w:pPr>
              <w:spacing w:after="40" w:line="252" w:lineRule="auto"/>
            </w:pPr>
            <w:r/>
            <w:r>
              <w:rPr>
                <w:rFonts w:ascii="Calibri" w:hAnsi="Calibri"/>
                <w:b w:val="0"/>
                <w:color w:val="10283B"/>
                <w:sz w:val="16"/>
              </w:rPr>
              <w:t>Students use named versions, backups, source acknowledgement and confirmed submission processes.</w:t>
            </w:r>
          </w:p>
        </w:tc>
      </w:tr>
      <w:tr>
        <w:trPr/>
        <w:tc>
          <w:tcPr>
            <w:tcW w:type="dxa" w:w="155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TE4-DIG-02</w:t>
            </w:r>
          </w:p>
        </w:tc>
        <w:tc>
          <w:tcPr>
            <w:tcW w:type="dxa" w:w="4808"/>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uses data and digital systems to code, design and produce projects</w:t>
            </w:r>
          </w:p>
        </w:tc>
        <w:tc>
          <w:tcPr>
            <w:tcW w:type="dxa" w:w="731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Central unit evidence: analogue and digital data, branching, mapping, arrays, code and the final alarm.</w:t>
            </w:r>
          </w:p>
        </w:tc>
      </w:tr>
    </w:tbl>
    <w:p/>
    <w:p>
      <w:r>
        <w:t>Source: NESA Technology 7–8 Syllabus (2023) outcomes page. School programming decisions determine the final emphasis and reporting judgement.</w:t>
      </w:r>
    </w:p>
    <w:p>
      <w:r>
        <w:br w:type="page"/>
      </w:r>
    </w:p>
    <w:p>
      <w:pPr>
        <w:pStyle w:val="Heading1"/>
      </w:pPr>
      <w:r>
        <w:t>3. Ten-week scope and sequence</w:t>
      </w:r>
    </w:p>
    <w:tbl>
      <w:tblPr>
        <w:tblW w:type="dxa" w:w="13680"/>
        <w:tblLayout w:type="fixed"/>
        <w:tblLook w:firstColumn="1" w:firstRow="1" w:lastColumn="0" w:lastRow="0" w:noHBand="0" w:noVBand="1" w:val="04A0"/>
        <w:jc w:val="center"/>
        <w:tblInd w:type="dxa" w:w="120"/>
      </w:tblPr>
      <w:tblGrid>
        <w:gridCol w:w="697"/>
        <w:gridCol w:w="2407"/>
        <w:gridCol w:w="4370"/>
        <w:gridCol w:w="4497"/>
        <w:gridCol w:w="1709"/>
      </w:tblGrid>
      <w:tr>
        <w:trPr>
          <w:tblHeader/>
        </w:trPr>
        <w:tc>
          <w:tcPr>
            <w:tcW w:type="dxa" w:w="69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Week</w:t>
            </w:r>
          </w:p>
        </w:tc>
        <w:tc>
          <w:tcPr>
            <w:tcW w:type="dxa" w:w="240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Module</w:t>
            </w:r>
          </w:p>
        </w:tc>
        <w:tc>
          <w:tcPr>
            <w:tcW w:type="dxa" w:w="437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focus</w:t>
            </w:r>
          </w:p>
        </w:tc>
        <w:tc>
          <w:tcPr>
            <w:tcW w:type="dxa" w:w="449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Evidence checkpoint</w:t>
            </w:r>
          </w:p>
        </w:tc>
        <w:tc>
          <w:tcPr>
            <w:tcW w:type="dxa" w:w="170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Outcome focus</w:t>
            </w:r>
          </w:p>
        </w:tc>
      </w:tr>
      <w:tr>
        <w:trPr/>
        <w:tc>
          <w:tcPr>
            <w:tcW w:type="dxa" w:w="697"/>
            <w:vAlign w:val="center"/>
            <w:tcMar>
              <w:top w:w="80" w:type="dxa"/>
              <w:start w:w="120" w:type="dxa"/>
              <w:bottom w:w="80" w:type="dxa"/>
              <w:end w:w="120" w:type="dxa"/>
            </w:tcMar>
          </w:tcPr>
          <w:p>
            <w:pPr>
              <w:spacing w:after="40" w:line="252" w:lineRule="auto"/>
            </w:pPr>
            <w:r/>
            <w:r>
              <w:rPr>
                <w:rFonts w:ascii="Calibri" w:hAnsi="Calibri"/>
                <w:b w:val="0"/>
                <w:color w:val="10283B"/>
                <w:sz w:val="16"/>
              </w:rPr>
              <w:t>1</w:t>
            </w:r>
          </w:p>
        </w:tc>
        <w:tc>
          <w:tcPr>
            <w:tcW w:type="dxa" w:w="2407"/>
            <w:vAlign w:val="center"/>
            <w:tcMar>
              <w:top w:w="80" w:type="dxa"/>
              <w:start w:w="120" w:type="dxa"/>
              <w:bottom w:w="80" w:type="dxa"/>
              <w:end w:w="120" w:type="dxa"/>
            </w:tcMar>
          </w:tcPr>
          <w:p>
            <w:pPr>
              <w:spacing w:after="40" w:line="252" w:lineRule="auto"/>
            </w:pPr>
            <w:r/>
            <w:r>
              <w:rPr>
                <w:rFonts w:ascii="Calibri" w:hAnsi="Calibri"/>
                <w:b w:val="0"/>
                <w:color w:val="10283B"/>
                <w:sz w:val="16"/>
              </w:rPr>
              <w:t>Systems that sense and respond</w:t>
            </w:r>
          </w:p>
        </w:tc>
        <w:tc>
          <w:tcPr>
            <w:tcW w:type="dxa" w:w="4370"/>
            <w:vAlign w:val="center"/>
            <w:tcMar>
              <w:top w:w="80" w:type="dxa"/>
              <w:start w:w="120" w:type="dxa"/>
              <w:bottom w:w="80" w:type="dxa"/>
              <w:end w:w="120" w:type="dxa"/>
            </w:tcMar>
          </w:tcPr>
          <w:p>
            <w:pPr>
              <w:spacing w:after="40" w:line="252" w:lineRule="auto"/>
            </w:pPr>
            <w:r/>
            <w:r>
              <w:rPr>
                <w:rFonts w:ascii="Calibri" w:hAnsi="Calibri"/>
                <w:b w:val="0"/>
                <w:color w:val="10283B"/>
                <w:sz w:val="16"/>
              </w:rPr>
              <w:t>IPO; microcontroller, shield and sketch roles; fixed pin map.</w:t>
            </w:r>
          </w:p>
        </w:tc>
        <w:tc>
          <w:tcPr>
            <w:tcW w:type="dxa" w:w="4497"/>
            <w:vAlign w:val="center"/>
            <w:tcMar>
              <w:top w:w="80" w:type="dxa"/>
              <w:start w:w="120" w:type="dxa"/>
              <w:bottom w:w="80" w:type="dxa"/>
              <w:end w:w="120" w:type="dxa"/>
            </w:tcMar>
          </w:tcPr>
          <w:p>
            <w:pPr>
              <w:spacing w:after="40" w:line="252" w:lineRule="auto"/>
            </w:pPr>
            <w:r/>
            <w:r>
              <w:rPr>
                <w:rFonts w:ascii="Calibri" w:hAnsi="Calibri"/>
                <w:b w:val="0"/>
                <w:color w:val="10283B"/>
                <w:sz w:val="16"/>
              </w:rPr>
              <w:t>Hardware map; control-system detective; 30 checks; 3 responses.</w:t>
            </w:r>
          </w:p>
        </w:tc>
        <w:tc>
          <w:tcPr>
            <w:tcW w:type="dxa" w:w="1709"/>
            <w:vAlign w:val="center"/>
            <w:tcMar>
              <w:top w:w="80" w:type="dxa"/>
              <w:start w:w="120" w:type="dxa"/>
              <w:bottom w:w="80" w:type="dxa"/>
              <w:end w:w="120" w:type="dxa"/>
            </w:tcMar>
          </w:tcPr>
          <w:p>
            <w:pPr>
              <w:spacing w:after="40" w:line="252" w:lineRule="auto"/>
            </w:pPr>
            <w:r/>
            <w:r>
              <w:rPr>
                <w:rFonts w:ascii="Calibri" w:hAnsi="Calibri"/>
                <w:b w:val="0"/>
                <w:color w:val="10283B"/>
                <w:sz w:val="16"/>
              </w:rPr>
              <w:t>TE4-MSC-01, TE4-DIG-02</w:t>
            </w:r>
          </w:p>
        </w:tc>
      </w:tr>
      <w:tr>
        <w:trPr/>
        <w:tc>
          <w:tcPr>
            <w:tcW w:type="dxa" w:w="6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2</w:t>
            </w:r>
          </w:p>
        </w:tc>
        <w:tc>
          <w:tcPr>
            <w:tcW w:type="dxa" w:w="240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Make light obey the code</w:t>
            </w:r>
          </w:p>
        </w:tc>
        <w:tc>
          <w:tcPr>
            <w:tcW w:type="dxa" w:w="43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setup/loop; digitalWrite; HIGH/LOW; timing; Getting Flashy and Even Flashier.</w:t>
            </w:r>
          </w:p>
        </w:tc>
        <w:tc>
          <w:tcPr>
            <w:tcW w:type="dxa" w:w="44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Predictions, timing comparison and first debugging record.</w:t>
            </w:r>
          </w:p>
        </w:tc>
        <w:tc>
          <w:tcPr>
            <w:tcW w:type="dxa" w:w="1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TE4-DIG-02, TE4-SAF-01</w:t>
            </w:r>
          </w:p>
        </w:tc>
      </w:tr>
      <w:tr>
        <w:trPr/>
        <w:tc>
          <w:tcPr>
            <w:tcW w:type="dxa" w:w="697"/>
            <w:vAlign w:val="center"/>
            <w:tcMar>
              <w:top w:w="80" w:type="dxa"/>
              <w:start w:w="120" w:type="dxa"/>
              <w:bottom w:w="80" w:type="dxa"/>
              <w:end w:w="120" w:type="dxa"/>
            </w:tcMar>
          </w:tcPr>
          <w:p>
            <w:pPr>
              <w:spacing w:after="40" w:line="252" w:lineRule="auto"/>
            </w:pPr>
            <w:r/>
            <w:r>
              <w:rPr>
                <w:rFonts w:ascii="Calibri" w:hAnsi="Calibri"/>
                <w:b w:val="0"/>
                <w:color w:val="10283B"/>
                <w:sz w:val="16"/>
              </w:rPr>
              <w:t>3</w:t>
            </w:r>
          </w:p>
        </w:tc>
        <w:tc>
          <w:tcPr>
            <w:tcW w:type="dxa" w:w="2407"/>
            <w:vAlign w:val="center"/>
            <w:tcMar>
              <w:top w:w="80" w:type="dxa"/>
              <w:start w:w="120" w:type="dxa"/>
              <w:bottom w:w="80" w:type="dxa"/>
              <w:end w:w="120" w:type="dxa"/>
            </w:tcMar>
          </w:tcPr>
          <w:p>
            <w:pPr>
              <w:spacing w:after="40" w:line="252" w:lineRule="auto"/>
            </w:pPr>
            <w:r/>
            <w:r>
              <w:rPr>
                <w:rFonts w:ascii="Calibri" w:hAnsi="Calibri"/>
                <w:b w:val="0"/>
                <w:color w:val="10283B"/>
                <w:sz w:val="16"/>
              </w:rPr>
              <w:t>Plan the logic before coding</w:t>
            </w:r>
          </w:p>
        </w:tc>
        <w:tc>
          <w:tcPr>
            <w:tcW w:type="dxa" w:w="4370"/>
            <w:vAlign w:val="center"/>
            <w:tcMar>
              <w:top w:w="80" w:type="dxa"/>
              <w:start w:w="120" w:type="dxa"/>
              <w:bottom w:w="80" w:type="dxa"/>
              <w:end w:w="120" w:type="dxa"/>
            </w:tcMar>
          </w:tcPr>
          <w:p>
            <w:pPr>
              <w:spacing w:after="40" w:line="252" w:lineRule="auto"/>
            </w:pPr>
            <w:r/>
            <w:r>
              <w:rPr>
                <w:rFonts w:ascii="Calibri" w:hAnsi="Calibri"/>
                <w:b w:val="0"/>
                <w:color w:val="10283B"/>
                <w:sz w:val="16"/>
              </w:rPr>
              <w:t>Algorithms, pseudocode, flowcharts and conditional branching.</w:t>
            </w:r>
          </w:p>
        </w:tc>
        <w:tc>
          <w:tcPr>
            <w:tcW w:type="dxa" w:w="4497"/>
            <w:vAlign w:val="center"/>
            <w:tcMar>
              <w:top w:w="80" w:type="dxa"/>
              <w:start w:w="120" w:type="dxa"/>
              <w:bottom w:w="80" w:type="dxa"/>
              <w:end w:w="120" w:type="dxa"/>
            </w:tcMar>
          </w:tcPr>
          <w:p>
            <w:pPr>
              <w:spacing w:after="40" w:line="252" w:lineRule="auto"/>
            </w:pPr>
            <w:r/>
            <w:r>
              <w:rPr>
                <w:rFonts w:ascii="Calibri" w:hAnsi="Calibri"/>
                <w:b w:val="0"/>
                <w:color w:val="10283B"/>
                <w:sz w:val="16"/>
              </w:rPr>
              <w:t>Algorithm, dry-run and two-path flowchart.</w:t>
            </w:r>
          </w:p>
        </w:tc>
        <w:tc>
          <w:tcPr>
            <w:tcW w:type="dxa" w:w="1709"/>
            <w:vAlign w:val="center"/>
            <w:tcMar>
              <w:top w:w="80" w:type="dxa"/>
              <w:start w:w="120" w:type="dxa"/>
              <w:bottom w:w="80" w:type="dxa"/>
              <w:end w:w="120" w:type="dxa"/>
            </w:tcMar>
          </w:tcPr>
          <w:p>
            <w:pPr>
              <w:spacing w:after="40" w:line="252" w:lineRule="auto"/>
            </w:pPr>
            <w:r/>
            <w:r>
              <w:rPr>
                <w:rFonts w:ascii="Calibri" w:hAnsi="Calibri"/>
                <w:b w:val="0"/>
                <w:color w:val="10283B"/>
                <w:sz w:val="16"/>
              </w:rPr>
              <w:t>TE4-DIG-02, TE4-DES-01</w:t>
            </w:r>
          </w:p>
        </w:tc>
      </w:tr>
      <w:tr>
        <w:trPr/>
        <w:tc>
          <w:tcPr>
            <w:tcW w:type="dxa" w:w="6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4</w:t>
            </w:r>
          </w:p>
        </w:tc>
        <w:tc>
          <w:tcPr>
            <w:tcW w:type="dxa" w:w="240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Read changing data</w:t>
            </w:r>
          </w:p>
        </w:tc>
        <w:tc>
          <w:tcPr>
            <w:tcW w:type="dxa" w:w="43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POT Basics, A Light Dimmer, POT LED Bouncer; analogue data, map and calibration.</w:t>
            </w:r>
          </w:p>
        </w:tc>
        <w:tc>
          <w:tcPr>
            <w:tcW w:type="dxa" w:w="44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Measured A5 range, mapping table and calibration justification.</w:t>
            </w:r>
          </w:p>
        </w:tc>
        <w:tc>
          <w:tcPr>
            <w:tcW w:type="dxa" w:w="1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TE4-DIG-02, TE4-MSC-01</w:t>
            </w:r>
          </w:p>
        </w:tc>
      </w:tr>
      <w:tr>
        <w:trPr/>
        <w:tc>
          <w:tcPr>
            <w:tcW w:type="dxa" w:w="697"/>
            <w:vAlign w:val="center"/>
            <w:tcMar>
              <w:top w:w="80" w:type="dxa"/>
              <w:start w:w="120" w:type="dxa"/>
              <w:bottom w:w="80" w:type="dxa"/>
              <w:end w:w="120" w:type="dxa"/>
            </w:tcMar>
          </w:tcPr>
          <w:p>
            <w:pPr>
              <w:spacing w:after="40" w:line="252" w:lineRule="auto"/>
            </w:pPr>
            <w:r/>
            <w:r>
              <w:rPr>
                <w:rFonts w:ascii="Calibri" w:hAnsi="Calibri"/>
                <w:b w:val="0"/>
                <w:color w:val="10283B"/>
                <w:sz w:val="16"/>
              </w:rPr>
              <w:t>5</w:t>
            </w:r>
          </w:p>
        </w:tc>
        <w:tc>
          <w:tcPr>
            <w:tcW w:type="dxa" w:w="2407"/>
            <w:vAlign w:val="center"/>
            <w:tcMar>
              <w:top w:w="80" w:type="dxa"/>
              <w:start w:w="120" w:type="dxa"/>
              <w:bottom w:w="80" w:type="dxa"/>
              <w:end w:w="120" w:type="dxa"/>
            </w:tcMar>
          </w:tcPr>
          <w:p>
            <w:pPr>
              <w:spacing w:after="40" w:line="252" w:lineRule="auto"/>
            </w:pPr>
            <w:r/>
            <w:r>
              <w:rPr>
                <w:rFonts w:ascii="Calibri" w:hAnsi="Calibri"/>
                <w:b w:val="0"/>
                <w:color w:val="10283B"/>
                <w:sz w:val="16"/>
              </w:rPr>
              <w:t>Sense the light</w:t>
            </w:r>
          </w:p>
        </w:tc>
        <w:tc>
          <w:tcPr>
            <w:tcW w:type="dxa" w:w="4370"/>
            <w:vAlign w:val="center"/>
            <w:tcMar>
              <w:top w:w="80" w:type="dxa"/>
              <w:start w:w="120" w:type="dxa"/>
              <w:bottom w:w="80" w:type="dxa"/>
              <w:end w:w="120" w:type="dxa"/>
            </w:tcMar>
          </w:tcPr>
          <w:p>
            <w:pPr>
              <w:spacing w:after="40" w:line="252" w:lineRule="auto"/>
            </w:pPr>
            <w:r/>
            <w:r>
              <w:rPr>
                <w:rFonts w:ascii="Calibri" w:hAnsi="Calibri"/>
                <w:b w:val="0"/>
                <w:color w:val="10283B"/>
                <w:sz w:val="16"/>
              </w:rPr>
              <w:t>LDR Basics and LDR Night Light; thresholds and sensor-response loops.</w:t>
            </w:r>
          </w:p>
        </w:tc>
        <w:tc>
          <w:tcPr>
            <w:tcW w:type="dxa" w:w="4497"/>
            <w:vAlign w:val="center"/>
            <w:tcMar>
              <w:top w:w="80" w:type="dxa"/>
              <w:start w:w="120" w:type="dxa"/>
              <w:bottom w:w="80" w:type="dxa"/>
              <w:end w:w="120" w:type="dxa"/>
            </w:tcMar>
          </w:tcPr>
          <w:p>
            <w:pPr>
              <w:spacing w:after="40" w:line="252" w:lineRule="auto"/>
            </w:pPr>
            <w:r/>
            <w:r>
              <w:rPr>
                <w:rFonts w:ascii="Calibri" w:hAnsi="Calibri"/>
                <w:b w:val="0"/>
                <w:color w:val="10283B"/>
                <w:sz w:val="16"/>
              </w:rPr>
              <w:t>A4 data set, justified threshold, trigger and recovery evidence.</w:t>
            </w:r>
          </w:p>
        </w:tc>
        <w:tc>
          <w:tcPr>
            <w:tcW w:type="dxa" w:w="1709"/>
            <w:vAlign w:val="center"/>
            <w:tcMar>
              <w:top w:w="80" w:type="dxa"/>
              <w:start w:w="120" w:type="dxa"/>
              <w:bottom w:w="80" w:type="dxa"/>
              <w:end w:w="120" w:type="dxa"/>
            </w:tcMar>
          </w:tcPr>
          <w:p>
            <w:pPr>
              <w:spacing w:after="40" w:line="252" w:lineRule="auto"/>
            </w:pPr>
            <w:r/>
            <w:r>
              <w:rPr>
                <w:rFonts w:ascii="Calibri" w:hAnsi="Calibri"/>
                <w:b w:val="0"/>
                <w:color w:val="10283B"/>
                <w:sz w:val="16"/>
              </w:rPr>
              <w:t>TE4-DIG-02, TE4-PDP-01</w:t>
            </w:r>
          </w:p>
        </w:tc>
      </w:tr>
      <w:tr>
        <w:trPr/>
        <w:tc>
          <w:tcPr>
            <w:tcW w:type="dxa" w:w="6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6</w:t>
            </w:r>
          </w:p>
        </w:tc>
        <w:tc>
          <w:tcPr>
            <w:tcW w:type="dxa" w:w="240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Make the code choose</w:t>
            </w:r>
          </w:p>
        </w:tc>
        <w:tc>
          <w:tcPr>
            <w:tcW w:type="dxa" w:w="43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Push Button Basics and Get A Toggle On; pin 7, if/else and Boolean state.</w:t>
            </w:r>
          </w:p>
        </w:tc>
        <w:tc>
          <w:tcPr>
            <w:tcW w:type="dxa" w:w="44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Button-state table, branch trace and toggle state trace.</w:t>
            </w:r>
          </w:p>
        </w:tc>
        <w:tc>
          <w:tcPr>
            <w:tcW w:type="dxa" w:w="1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TE4-DIG-02, TE4-MSC-01</w:t>
            </w:r>
          </w:p>
        </w:tc>
      </w:tr>
      <w:tr>
        <w:trPr/>
        <w:tc>
          <w:tcPr>
            <w:tcW w:type="dxa" w:w="697"/>
            <w:vAlign w:val="center"/>
            <w:tcMar>
              <w:top w:w="80" w:type="dxa"/>
              <w:start w:w="120" w:type="dxa"/>
              <w:bottom w:w="80" w:type="dxa"/>
              <w:end w:w="120" w:type="dxa"/>
            </w:tcMar>
          </w:tcPr>
          <w:p>
            <w:pPr>
              <w:spacing w:after="40" w:line="252" w:lineRule="auto"/>
            </w:pPr>
            <w:r/>
            <w:r>
              <w:rPr>
                <w:rFonts w:ascii="Calibri" w:hAnsi="Calibri"/>
                <w:b w:val="0"/>
                <w:color w:val="10283B"/>
                <w:sz w:val="16"/>
              </w:rPr>
              <w:t>7</w:t>
            </w:r>
          </w:p>
        </w:tc>
        <w:tc>
          <w:tcPr>
            <w:tcW w:type="dxa" w:w="2407"/>
            <w:vAlign w:val="center"/>
            <w:tcMar>
              <w:top w:w="80" w:type="dxa"/>
              <w:start w:w="120" w:type="dxa"/>
              <w:bottom w:w="80" w:type="dxa"/>
              <w:end w:w="120" w:type="dxa"/>
            </w:tcMar>
          </w:tcPr>
          <w:p>
            <w:pPr>
              <w:spacing w:after="40" w:line="252" w:lineRule="auto"/>
            </w:pPr>
            <w:r/>
            <w:r>
              <w:rPr>
                <w:rFonts w:ascii="Calibri" w:hAnsi="Calibri"/>
                <w:b w:val="0"/>
                <w:color w:val="10283B"/>
                <w:sz w:val="16"/>
              </w:rPr>
              <w:t>Turn numbers into sound</w:t>
            </w:r>
          </w:p>
        </w:tc>
        <w:tc>
          <w:tcPr>
            <w:tcW w:type="dxa" w:w="4370"/>
            <w:vAlign w:val="center"/>
            <w:tcMar>
              <w:top w:w="80" w:type="dxa"/>
              <w:start w:w="120" w:type="dxa"/>
              <w:bottom w:w="80" w:type="dxa"/>
              <w:end w:w="120" w:type="dxa"/>
            </w:tcMar>
          </w:tcPr>
          <w:p>
            <w:pPr>
              <w:spacing w:after="40" w:line="252" w:lineRule="auto"/>
            </w:pPr>
            <w:r/>
            <w:r>
              <w:rPr>
                <w:rFonts w:ascii="Calibri" w:hAnsi="Calibri"/>
                <w:b w:val="0"/>
                <w:color w:val="10283B"/>
                <w:sz w:val="16"/>
              </w:rPr>
              <w:t>Buzzer Basics, Pitch Changer and Play a Song; frequency, mapping and sequences.</w:t>
            </w:r>
          </w:p>
        </w:tc>
        <w:tc>
          <w:tcPr>
            <w:tcW w:type="dxa" w:w="4497"/>
            <w:vAlign w:val="center"/>
            <w:tcMar>
              <w:top w:w="80" w:type="dxa"/>
              <w:start w:w="120" w:type="dxa"/>
              <w:bottom w:w="80" w:type="dxa"/>
              <w:end w:w="120" w:type="dxa"/>
            </w:tcMar>
          </w:tcPr>
          <w:p>
            <w:pPr>
              <w:spacing w:after="40" w:line="252" w:lineRule="auto"/>
            </w:pPr>
            <w:r/>
            <w:r>
              <w:rPr>
                <w:rFonts w:ascii="Calibri" w:hAnsi="Calibri"/>
                <w:b w:val="0"/>
                <w:color w:val="10283B"/>
                <w:sz w:val="16"/>
              </w:rPr>
              <w:t>Tested frequencies, A5-to-pitch trace and melody code annotation.</w:t>
            </w:r>
          </w:p>
        </w:tc>
        <w:tc>
          <w:tcPr>
            <w:tcW w:type="dxa" w:w="1709"/>
            <w:vAlign w:val="center"/>
            <w:tcMar>
              <w:top w:w="80" w:type="dxa"/>
              <w:start w:w="120" w:type="dxa"/>
              <w:bottom w:w="80" w:type="dxa"/>
              <w:end w:w="120" w:type="dxa"/>
            </w:tcMar>
          </w:tcPr>
          <w:p>
            <w:pPr>
              <w:spacing w:after="40" w:line="252" w:lineRule="auto"/>
            </w:pPr>
            <w:r/>
            <w:r>
              <w:rPr>
                <w:rFonts w:ascii="Calibri" w:hAnsi="Calibri"/>
                <w:b w:val="0"/>
                <w:color w:val="10283B"/>
                <w:sz w:val="16"/>
              </w:rPr>
              <w:t>TE4-DIG-02, TE4-SAF-01</w:t>
            </w:r>
          </w:p>
        </w:tc>
      </w:tr>
      <w:tr>
        <w:trPr/>
        <w:tc>
          <w:tcPr>
            <w:tcW w:type="dxa" w:w="6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8</w:t>
            </w:r>
          </w:p>
        </w:tc>
        <w:tc>
          <w:tcPr>
            <w:tcW w:type="dxa" w:w="240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Combine parts into systems</w:t>
            </w:r>
          </w:p>
        </w:tc>
        <w:tc>
          <w:tcPr>
            <w:tcW w:type="dxa" w:w="43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Electronic Dice, Buzzing Light Meter and LED Magic Sign; arrays, loops, functions.</w:t>
            </w:r>
          </w:p>
        </w:tc>
        <w:tc>
          <w:tcPr>
            <w:tcW w:type="dxa" w:w="44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Challenge IPO, index trace and subsystem test order.</w:t>
            </w:r>
          </w:p>
        </w:tc>
        <w:tc>
          <w:tcPr>
            <w:tcW w:type="dxa" w:w="1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TE4-DIG-02, TE4-PPM-01</w:t>
            </w:r>
          </w:p>
        </w:tc>
      </w:tr>
      <w:tr>
        <w:trPr/>
        <w:tc>
          <w:tcPr>
            <w:tcW w:type="dxa" w:w="697"/>
            <w:vAlign w:val="center"/>
            <w:tcMar>
              <w:top w:w="80" w:type="dxa"/>
              <w:start w:w="120" w:type="dxa"/>
              <w:bottom w:w="80" w:type="dxa"/>
              <w:end w:w="120" w:type="dxa"/>
            </w:tcMar>
          </w:tcPr>
          <w:p>
            <w:pPr>
              <w:spacing w:after="40" w:line="252" w:lineRule="auto"/>
            </w:pPr>
            <w:r/>
            <w:r>
              <w:rPr>
                <w:rFonts w:ascii="Calibri" w:hAnsi="Calibri"/>
                <w:b w:val="0"/>
                <w:color w:val="10283B"/>
                <w:sz w:val="16"/>
              </w:rPr>
              <w:t>9</w:t>
            </w:r>
          </w:p>
        </w:tc>
        <w:tc>
          <w:tcPr>
            <w:tcW w:type="dxa" w:w="2407"/>
            <w:vAlign w:val="center"/>
            <w:tcMar>
              <w:top w:w="80" w:type="dxa"/>
              <w:start w:w="120" w:type="dxa"/>
              <w:bottom w:w="80" w:type="dxa"/>
              <w:end w:w="120" w:type="dxa"/>
            </w:tcMar>
          </w:tcPr>
          <w:p>
            <w:pPr>
              <w:spacing w:after="40" w:line="252" w:lineRule="auto"/>
            </w:pPr>
            <w:r/>
            <w:r>
              <w:rPr>
                <w:rFonts w:ascii="Calibri" w:hAnsi="Calibri"/>
                <w:b w:val="0"/>
                <w:color w:val="10283B"/>
                <w:sz w:val="16"/>
              </w:rPr>
              <w:t>Design the final alarm</w:t>
            </w:r>
          </w:p>
        </w:tc>
        <w:tc>
          <w:tcPr>
            <w:tcW w:type="dxa" w:w="4370"/>
            <w:vAlign w:val="center"/>
            <w:tcMar>
              <w:top w:w="80" w:type="dxa"/>
              <w:start w:w="120" w:type="dxa"/>
              <w:bottom w:w="80" w:type="dxa"/>
              <w:end w:w="120" w:type="dxa"/>
            </w:tcMar>
          </w:tcPr>
          <w:p>
            <w:pPr>
              <w:spacing w:after="40" w:line="252" w:lineRule="auto"/>
            </w:pPr>
            <w:r/>
            <w:r>
              <w:rPr>
                <w:rFonts w:ascii="Calibri" w:hAnsi="Calibri"/>
                <w:b w:val="0"/>
                <w:color w:val="10283B"/>
                <w:sz w:val="16"/>
              </w:rPr>
              <w:t>Final Alarm Code; brief, criteria, aligned planning and production.</w:t>
            </w:r>
          </w:p>
        </w:tc>
        <w:tc>
          <w:tcPr>
            <w:tcW w:type="dxa" w:w="4497"/>
            <w:vAlign w:val="center"/>
            <w:tcMar>
              <w:top w:w="80" w:type="dxa"/>
              <w:start w:w="120" w:type="dxa"/>
              <w:bottom w:w="80" w:type="dxa"/>
              <w:end w:w="120" w:type="dxa"/>
            </w:tcMar>
          </w:tcPr>
          <w:p>
            <w:pPr>
              <w:spacing w:after="40" w:line="252" w:lineRule="auto"/>
            </w:pPr>
            <w:r/>
            <w:r>
              <w:rPr>
                <w:rFonts w:ascii="Calibri" w:hAnsi="Calibri"/>
                <w:b w:val="0"/>
                <w:color w:val="10283B"/>
                <w:sz w:val="16"/>
              </w:rPr>
              <w:t>Brief, criteria, pin map, IPO, pseudocode, code record and tests.</w:t>
            </w:r>
          </w:p>
        </w:tc>
        <w:tc>
          <w:tcPr>
            <w:tcW w:type="dxa" w:w="1709"/>
            <w:vAlign w:val="center"/>
            <w:tcMar>
              <w:top w:w="80" w:type="dxa"/>
              <w:start w:w="120" w:type="dxa"/>
              <w:bottom w:w="80" w:type="dxa"/>
              <w:end w:w="120" w:type="dxa"/>
            </w:tcMar>
          </w:tcPr>
          <w:p>
            <w:pPr>
              <w:spacing w:after="40" w:line="252" w:lineRule="auto"/>
            </w:pPr>
            <w:r/>
            <w:r>
              <w:rPr>
                <w:rFonts w:ascii="Calibri" w:hAnsi="Calibri"/>
                <w:b w:val="0"/>
                <w:color w:val="10283B"/>
                <w:sz w:val="16"/>
              </w:rPr>
              <w:t>TE4-DES-01, TE4-PPM-01, TE4-DIG-02</w:t>
            </w:r>
          </w:p>
        </w:tc>
      </w:tr>
      <w:tr>
        <w:trPr/>
        <w:tc>
          <w:tcPr>
            <w:tcW w:type="dxa" w:w="6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10</w:t>
            </w:r>
          </w:p>
        </w:tc>
        <w:tc>
          <w:tcPr>
            <w:tcW w:type="dxa" w:w="240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Debug, improve and explain</w:t>
            </w:r>
          </w:p>
        </w:tc>
        <w:tc>
          <w:tcPr>
            <w:tcW w:type="dxa" w:w="43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Systematic debugging, evidence-based evaluation, backup and hand-in readiness.</w:t>
            </w:r>
          </w:p>
        </w:tc>
        <w:tc>
          <w:tcPr>
            <w:tcW w:type="dxa" w:w="4497"/>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Debug log, criterion evaluation, improvements and final backup.</w:t>
            </w:r>
          </w:p>
        </w:tc>
        <w:tc>
          <w:tcPr>
            <w:tcW w:type="dxa" w:w="170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TE4-DES-01, TE4-DIG-01, TE4-DIG-02</w:t>
            </w:r>
          </w:p>
        </w:tc>
      </w:tr>
    </w:tbl>
    <w:p/>
    <w:p>
      <w:r>
        <w:br w:type="page"/>
      </w:r>
    </w:p>
    <w:p>
      <w:pPr>
        <w:pStyle w:val="Heading1"/>
      </w:pPr>
      <w:r>
        <w:t>4. Detailed teaching and learning sequence</w:t>
      </w:r>
    </w:p>
    <w:p>
      <w:pPr>
        <w:pStyle w:val="Heading2"/>
      </w:pPr>
      <w:r>
        <w:t>Week 1: Systems that sense and respond</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IPO; microcontroller, shield and sketch roles; fixed pin map.</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Hardware map; control-system detective; 30 checks; 3 responses.</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TE4-MSC-01, TE4-DIG-02.</w:t>
            </w:r>
          </w:p>
        </w:tc>
      </w:tr>
    </w:tbl>
    <w:p/>
    <w:p>
      <w:pPr>
        <w:pStyle w:val="Heading2"/>
      </w:pPr>
      <w:r>
        <w:t>Week 2: Make light obey the code</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setup/loop; digitalWrite; HIGH/LOW; timing; Getting Flashy and Even Flashier.</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Predictions, timing comparison and first debugging record.</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TE4-SAF-01.</w:t>
            </w:r>
          </w:p>
        </w:tc>
      </w:tr>
    </w:tbl>
    <w:p/>
    <w:p>
      <w:pPr>
        <w:pStyle w:val="Heading2"/>
      </w:pPr>
      <w:r>
        <w:t>Week 3: Plan the logic before coding</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Algorithms, pseudocode, flowcharts and conditional branching.</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Algorithm, dry-run and two-path flowchart.</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TE4-DES-01.</w:t>
            </w:r>
          </w:p>
        </w:tc>
      </w:tr>
    </w:tbl>
    <w:p/>
    <w:p>
      <w:pPr>
        <w:pStyle w:val="Heading2"/>
      </w:pPr>
      <w:r>
        <w:t>Week 4: Read changing data</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POT Basics, A Light Dimmer, POT LED Bouncer; analogue data, map and calibration.</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Measured A5 range, mapping table and calibration justification.</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TE4-MSC-01.</w:t>
            </w:r>
          </w:p>
        </w:tc>
      </w:tr>
    </w:tbl>
    <w:p/>
    <w:p>
      <w:pPr>
        <w:pStyle w:val="Heading2"/>
      </w:pPr>
      <w:r>
        <w:t>Week 5: Sense the light</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LDR Basics and LDR Night Light; thresholds and sensor-response loops.</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A4 data set, justified threshold, trigger and recovery evidence.</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TE4-PDP-01.</w:t>
            </w:r>
          </w:p>
        </w:tc>
      </w:tr>
    </w:tbl>
    <w:p/>
    <w:p>
      <w:pPr>
        <w:pStyle w:val="Heading2"/>
      </w:pPr>
      <w:r>
        <w:t>Week 6: Make the code choose</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Push Button Basics and Get A Toggle On; pin 7, if/else and Boolean state.</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Button-state table, branch trace and toggle state trace.</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TE4-MSC-01.</w:t>
            </w:r>
          </w:p>
        </w:tc>
      </w:tr>
    </w:tbl>
    <w:p/>
    <w:p>
      <w:pPr>
        <w:pStyle w:val="Heading2"/>
      </w:pPr>
      <w:r>
        <w:t>Week 7: Turn numbers into sound</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Buzzer Basics, Pitch Changer and Play a Song; frequency, mapping and sequences.</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Tested frequencies, A5-to-pitch trace and melody code annotation.</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TE4-SAF-01.</w:t>
            </w:r>
          </w:p>
        </w:tc>
      </w:tr>
    </w:tbl>
    <w:p/>
    <w:p>
      <w:pPr>
        <w:pStyle w:val="Heading2"/>
      </w:pPr>
      <w:r>
        <w:t>Week 8: Combine parts into systems</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Electronic Dice, Buzzing Light Meter and LED Magic Sign; arrays, loops, functions.</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Challenge IPO, index trace and subsystem test order.</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TE4-DIG-02, TE4-PPM-01.</w:t>
            </w:r>
          </w:p>
        </w:tc>
      </w:tr>
    </w:tbl>
    <w:p/>
    <w:p>
      <w:pPr>
        <w:pStyle w:val="Heading2"/>
      </w:pPr>
      <w:r>
        <w:t>Week 9: Design the final alarm</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Final Alarm Code; brief, criteria, aligned planning and production.</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Brief, criteria, pin map, IPO, pseudocode, code record and tests.</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TE4-DES-01, TE4-PPM-01, TE4-DIG-02.</w:t>
            </w:r>
          </w:p>
        </w:tc>
      </w:tr>
    </w:tbl>
    <w:p/>
    <w:p>
      <w:pPr>
        <w:pStyle w:val="Heading2"/>
      </w:pPr>
      <w:r>
        <w:t>Week 10: Debug, improve and explain</w:t>
      </w:r>
    </w:p>
    <w:tbl>
      <w:tblPr>
        <w:tblW w:type="dxa" w:w="13680"/>
        <w:tblLayout w:type="fixed"/>
        <w:tblLook w:firstColumn="1" w:firstRow="1" w:lastColumn="0" w:lastRow="0" w:noHBand="0" w:noVBand="1" w:val="04A0"/>
        <w:jc w:val="center"/>
        <w:tblInd w:type="dxa" w:w="120"/>
      </w:tblPr>
      <w:tblGrid>
        <w:gridCol w:w="2890"/>
        <w:gridCol w:w="4367"/>
        <w:gridCol w:w="3019"/>
        <w:gridCol w:w="3404"/>
      </w:tblGrid>
      <w:tr>
        <w:trPr>
          <w:tblHeader/>
        </w:trPr>
        <w:tc>
          <w:tcPr>
            <w:tcW w:type="dxa" w:w="289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Learning intentions</w:t>
            </w:r>
          </w:p>
        </w:tc>
        <w:tc>
          <w:tcPr>
            <w:tcW w:type="dxa" w:w="4367"/>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Suggested sequence</w:t>
            </w:r>
          </w:p>
        </w:tc>
        <w:tc>
          <w:tcPr>
            <w:tcW w:type="dxa" w:w="301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Student evidence</w:t>
            </w:r>
          </w:p>
        </w:tc>
        <w:tc>
          <w:tcPr>
            <w:tcW w:type="dxa" w:w="340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checkpoints</w:t>
            </w:r>
          </w:p>
        </w:tc>
      </w:tr>
      <w:tr>
        <w:trPr/>
        <w:tc>
          <w:tcPr>
            <w:tcW w:type="dxa" w:w="2890"/>
            <w:vAlign w:val="center"/>
            <w:tcMar>
              <w:top w:w="80" w:type="dxa"/>
              <w:start w:w="120" w:type="dxa"/>
              <w:bottom w:w="80" w:type="dxa"/>
              <w:end w:w="120" w:type="dxa"/>
            </w:tcMar>
          </w:tcPr>
          <w:p>
            <w:pPr>
              <w:spacing w:after="40" w:line="252" w:lineRule="auto"/>
            </w:pPr>
            <w:r/>
            <w:r>
              <w:rPr>
                <w:rFonts w:ascii="Calibri" w:hAnsi="Calibri"/>
                <w:b w:val="0"/>
                <w:color w:val="10283B"/>
                <w:sz w:val="16"/>
              </w:rPr>
              <w:t>Systematic debugging, evidence-based evaluation, backup and hand-in readiness.</w:t>
            </w:r>
          </w:p>
        </w:tc>
        <w:tc>
          <w:tcPr>
            <w:tcW w:type="dxa" w:w="4367"/>
            <w:vAlign w:val="center"/>
            <w:tcMar>
              <w:top w:w="80" w:type="dxa"/>
              <w:start w:w="120" w:type="dxa"/>
              <w:bottom w:w="80" w:type="dxa"/>
              <w:end w:w="120" w:type="dxa"/>
            </w:tcMar>
          </w:tcPr>
          <w:p>
            <w:pPr>
              <w:spacing w:after="40" w:line="252" w:lineRule="auto"/>
            </w:pPr>
            <w:r/>
            <w:r>
              <w:rPr>
                <w:rFonts w:ascii="Calibri" w:hAnsi="Calibri"/>
                <w:b w:val="0"/>
                <w:color w:val="10283B"/>
                <w:sz w:val="16"/>
              </w:rPr>
              <w:t>Launch with the module presentation. Teach the three theory sections. Students complete adjacent checks and guided responses, then undertake the linked activity studio. Practical work follows the teacher-confirmed lesson allocation.</w:t>
            </w:r>
          </w:p>
        </w:tc>
        <w:tc>
          <w:tcPr>
            <w:tcW w:type="dxa" w:w="3019"/>
            <w:vAlign w:val="center"/>
            <w:tcMar>
              <w:top w:w="80" w:type="dxa"/>
              <w:start w:w="120" w:type="dxa"/>
              <w:bottom w:w="80" w:type="dxa"/>
              <w:end w:w="120" w:type="dxa"/>
            </w:tcMar>
          </w:tcPr>
          <w:p>
            <w:pPr>
              <w:spacing w:after="40" w:line="252" w:lineRule="auto"/>
            </w:pPr>
            <w:r/>
            <w:r>
              <w:rPr>
                <w:rFonts w:ascii="Calibri" w:hAnsi="Calibri"/>
                <w:b w:val="0"/>
                <w:color w:val="10283B"/>
                <w:sz w:val="16"/>
              </w:rPr>
              <w:t>Debug log, criterion evaluation, improvements and final backup.</w:t>
            </w:r>
          </w:p>
        </w:tc>
        <w:tc>
          <w:tcPr>
            <w:tcW w:type="dxa" w:w="3404"/>
            <w:vAlign w:val="center"/>
            <w:tcMar>
              <w:top w:w="80" w:type="dxa"/>
              <w:start w:w="120" w:type="dxa"/>
              <w:bottom w:w="80" w:type="dxa"/>
              <w:end w:w="120" w:type="dxa"/>
            </w:tcMar>
          </w:tcPr>
          <w:p>
            <w:pPr>
              <w:spacing w:after="40" w:line="252" w:lineRule="auto"/>
            </w:pPr>
            <w:r/>
            <w:r>
              <w:rPr>
                <w:rFonts w:ascii="Calibri" w:hAnsi="Calibri"/>
                <w:b w:val="0"/>
                <w:color w:val="10283B"/>
                <w:sz w:val="16"/>
              </w:rPr>
              <w:t>Confirm equipment, supervision and current class controls. Check that theory, planning and code use the fixed pin map. Use question and response evidence to reteach precisely. Outcome focus: TE4-DES-01, TE4-DIG-01, TE4-DIG-02.</w:t>
            </w:r>
          </w:p>
        </w:tc>
      </w:tr>
    </w:tbl>
    <w:p/>
    <w:p>
      <w:pPr>
        <w:pStyle w:val="Heading1"/>
      </w:pPr>
      <w:r>
        <w:t>5. Assessment evidence and feedback</w:t>
      </w:r>
    </w:p>
    <w:p>
      <w:r>
        <w:t>The supplied course sources establish a final ThinkerShield alarm challenge but do not establish current-year marks, dates, rubric or submission arrangements. The following evidence structure supports formative feedback and can be mapped to a ratified task once confirmed.</w:t>
      </w:r>
    </w:p>
    <w:tbl>
      <w:tblPr>
        <w:tblW w:type="dxa" w:w="13680"/>
        <w:tblLayout w:type="fixed"/>
        <w:tblLook w:firstColumn="1" w:firstRow="1" w:lastColumn="0" w:lastRow="0" w:noHBand="0" w:noVBand="1" w:val="04A0"/>
        <w:jc w:val="center"/>
        <w:tblInd w:type="dxa" w:w="120"/>
      </w:tblPr>
      <w:tblGrid>
        <w:gridCol w:w="2184"/>
        <w:gridCol w:w="5780"/>
        <w:gridCol w:w="5716"/>
      </w:tblGrid>
      <w:tr>
        <w:trPr>
          <w:tblHeader/>
        </w:trPr>
        <w:tc>
          <w:tcPr>
            <w:tcW w:type="dxa" w:w="2184"/>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Evidence family</w:t>
            </w:r>
          </w:p>
        </w:tc>
        <w:tc>
          <w:tcPr>
            <w:tcW w:type="dxa" w:w="578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Examples</w:t>
            </w:r>
          </w:p>
        </w:tc>
        <w:tc>
          <w:tcPr>
            <w:tcW w:type="dxa" w:w="5716"/>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Feedback focus</w:t>
            </w:r>
          </w:p>
        </w:tc>
      </w:tr>
      <w:tr>
        <w:trPr/>
        <w:tc>
          <w:tcPr>
            <w:tcW w:type="dxa" w:w="2184"/>
            <w:vAlign w:val="center"/>
            <w:tcMar>
              <w:top w:w="80" w:type="dxa"/>
              <w:start w:w="120" w:type="dxa"/>
              <w:bottom w:w="80" w:type="dxa"/>
              <w:end w:w="120" w:type="dxa"/>
            </w:tcMar>
          </w:tcPr>
          <w:p>
            <w:pPr>
              <w:spacing w:after="40" w:line="252" w:lineRule="auto"/>
            </w:pPr>
            <w:r/>
            <w:r>
              <w:rPr>
                <w:rFonts w:ascii="Calibri" w:hAnsi="Calibri"/>
                <w:b w:val="0"/>
                <w:color w:val="10283B"/>
                <w:sz w:val="16"/>
              </w:rPr>
              <w:t>Concept knowledge</w:t>
            </w:r>
          </w:p>
        </w:tc>
        <w:tc>
          <w:tcPr>
            <w:tcW w:type="dxa" w:w="5780"/>
            <w:vAlign w:val="center"/>
            <w:tcMar>
              <w:top w:w="80" w:type="dxa"/>
              <w:start w:w="120" w:type="dxa"/>
              <w:bottom w:w="80" w:type="dxa"/>
              <w:end w:w="120" w:type="dxa"/>
            </w:tcMar>
          </w:tcPr>
          <w:p>
            <w:pPr>
              <w:spacing w:after="40" w:line="252" w:lineRule="auto"/>
            </w:pPr>
            <w:r/>
            <w:r>
              <w:rPr>
                <w:rFonts w:ascii="Calibri" w:hAnsi="Calibri"/>
                <w:b w:val="0"/>
                <w:color w:val="10283B"/>
                <w:sz w:val="16"/>
              </w:rPr>
              <w:t>300 checked questions and 30 guided responses</w:t>
            </w:r>
          </w:p>
        </w:tc>
        <w:tc>
          <w:tcPr>
            <w:tcW w:type="dxa" w:w="5716"/>
            <w:vAlign w:val="center"/>
            <w:tcMar>
              <w:top w:w="80" w:type="dxa"/>
              <w:start w:w="120" w:type="dxa"/>
              <w:bottom w:w="80" w:type="dxa"/>
              <w:end w:w="120" w:type="dxa"/>
            </w:tcMar>
          </w:tcPr>
          <w:p>
            <w:pPr>
              <w:spacing w:after="40" w:line="252" w:lineRule="auto"/>
            </w:pPr>
            <w:r/>
            <w:r>
              <w:rPr>
                <w:rFonts w:ascii="Calibri" w:hAnsi="Calibri"/>
                <w:b w:val="0"/>
                <w:color w:val="10283B"/>
                <w:sz w:val="16"/>
              </w:rPr>
              <w:t>Accuracy, vocabulary, signal-path reasoning and correction after feedback.</w:t>
            </w:r>
          </w:p>
        </w:tc>
      </w:tr>
      <w:tr>
        <w:trPr/>
        <w:tc>
          <w:tcPr>
            <w:tcW w:type="dxa" w:w="218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Practical pathway</w:t>
            </w:r>
          </w:p>
        </w:tc>
        <w:tc>
          <w:tcPr>
            <w:tcW w:type="dxa" w:w="578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Sixteen authorised coding challenges recorded across ten studios</w:t>
            </w:r>
          </w:p>
        </w:tc>
        <w:tc>
          <w:tcPr>
            <w:tcW w:type="dxa" w:w="5716"/>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Prediction, observation, code trace, calibration, subsystem testing and safe routines.</w:t>
            </w:r>
          </w:p>
        </w:tc>
      </w:tr>
      <w:tr>
        <w:trPr/>
        <w:tc>
          <w:tcPr>
            <w:tcW w:type="dxa" w:w="2184"/>
            <w:vAlign w:val="center"/>
            <w:tcMar>
              <w:top w:w="80" w:type="dxa"/>
              <w:start w:w="120" w:type="dxa"/>
              <w:bottom w:w="80" w:type="dxa"/>
              <w:end w:w="120" w:type="dxa"/>
            </w:tcMar>
          </w:tcPr>
          <w:p>
            <w:pPr>
              <w:spacing w:after="40" w:line="252" w:lineRule="auto"/>
            </w:pPr>
            <w:r/>
            <w:r>
              <w:rPr>
                <w:rFonts w:ascii="Calibri" w:hAnsi="Calibri"/>
                <w:b w:val="0"/>
                <w:color w:val="10283B"/>
                <w:sz w:val="16"/>
              </w:rPr>
              <w:t>Design communication</w:t>
            </w:r>
          </w:p>
        </w:tc>
        <w:tc>
          <w:tcPr>
            <w:tcW w:type="dxa" w:w="5780"/>
            <w:vAlign w:val="center"/>
            <w:tcMar>
              <w:top w:w="80" w:type="dxa"/>
              <w:start w:w="120" w:type="dxa"/>
              <w:bottom w:w="80" w:type="dxa"/>
              <w:end w:w="120" w:type="dxa"/>
            </w:tcMar>
          </w:tcPr>
          <w:p>
            <w:pPr>
              <w:spacing w:after="40" w:line="252" w:lineRule="auto"/>
            </w:pPr>
            <w:r/>
            <w:r>
              <w:rPr>
                <w:rFonts w:ascii="Calibri" w:hAnsi="Calibri"/>
                <w:b w:val="0"/>
                <w:color w:val="10283B"/>
                <w:sz w:val="16"/>
              </w:rPr>
              <w:t>Brief, criteria, pin map, IPO, pseudocode and flowchart</w:t>
            </w:r>
          </w:p>
        </w:tc>
        <w:tc>
          <w:tcPr>
            <w:tcW w:type="dxa" w:w="5716"/>
            <w:vAlign w:val="center"/>
            <w:tcMar>
              <w:top w:w="80" w:type="dxa"/>
              <w:start w:w="120" w:type="dxa"/>
              <w:bottom w:w="80" w:type="dxa"/>
              <w:end w:w="120" w:type="dxa"/>
            </w:tcMar>
          </w:tcPr>
          <w:p>
            <w:pPr>
              <w:spacing w:after="40" w:line="252" w:lineRule="auto"/>
            </w:pPr>
            <w:r/>
            <w:r>
              <w:rPr>
                <w:rFonts w:ascii="Calibri" w:hAnsi="Calibri"/>
                <w:b w:val="0"/>
                <w:color w:val="10283B"/>
                <w:sz w:val="16"/>
              </w:rPr>
              <w:t>Agreement between representations, testability and use of constraints.</w:t>
            </w:r>
          </w:p>
        </w:tc>
      </w:tr>
      <w:tr>
        <w:trPr/>
        <w:tc>
          <w:tcPr>
            <w:tcW w:type="dxa" w:w="2184"/>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Production and testing</w:t>
            </w:r>
          </w:p>
        </w:tc>
        <w:tc>
          <w:tcPr>
            <w:tcW w:type="dxa" w:w="578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Final sketch record, test cases, actual results and debugging log</w:t>
            </w:r>
          </w:p>
        </w:tc>
        <w:tc>
          <w:tcPr>
            <w:tcW w:type="dxa" w:w="5716"/>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Reliability, boundary and recovery behaviour, one-change debugging and retest evidence.</w:t>
            </w:r>
          </w:p>
        </w:tc>
      </w:tr>
      <w:tr>
        <w:trPr/>
        <w:tc>
          <w:tcPr>
            <w:tcW w:type="dxa" w:w="2184"/>
            <w:vAlign w:val="center"/>
            <w:tcMar>
              <w:top w:w="80" w:type="dxa"/>
              <w:start w:w="120" w:type="dxa"/>
              <w:bottom w:w="80" w:type="dxa"/>
              <w:end w:w="120" w:type="dxa"/>
            </w:tcMar>
          </w:tcPr>
          <w:p>
            <w:pPr>
              <w:spacing w:after="40" w:line="252" w:lineRule="auto"/>
            </w:pPr>
            <w:r/>
            <w:r>
              <w:rPr>
                <w:rFonts w:ascii="Calibri" w:hAnsi="Calibri"/>
                <w:b w:val="0"/>
                <w:color w:val="10283B"/>
                <w:sz w:val="16"/>
              </w:rPr>
              <w:t>Evaluation</w:t>
            </w:r>
          </w:p>
        </w:tc>
        <w:tc>
          <w:tcPr>
            <w:tcW w:type="dxa" w:w="5780"/>
            <w:vAlign w:val="center"/>
            <w:tcMar>
              <w:top w:w="80" w:type="dxa"/>
              <w:start w:w="120" w:type="dxa"/>
              <w:bottom w:w="80" w:type="dxa"/>
              <w:end w:w="120" w:type="dxa"/>
            </w:tcMar>
          </w:tcPr>
          <w:p>
            <w:pPr>
              <w:spacing w:after="40" w:line="252" w:lineRule="auto"/>
            </w:pPr>
            <w:r/>
            <w:r>
              <w:rPr>
                <w:rFonts w:ascii="Calibri" w:hAnsi="Calibri"/>
                <w:b w:val="0"/>
                <w:color w:val="10283B"/>
                <w:sz w:val="16"/>
              </w:rPr>
              <w:t>Criterion-based judgement, improvements and learning reflection</w:t>
            </w:r>
          </w:p>
        </w:tc>
        <w:tc>
          <w:tcPr>
            <w:tcW w:type="dxa" w:w="5716"/>
            <w:vAlign w:val="center"/>
            <w:tcMar>
              <w:top w:w="80" w:type="dxa"/>
              <w:start w:w="120" w:type="dxa"/>
              <w:bottom w:w="80" w:type="dxa"/>
              <w:end w:w="120" w:type="dxa"/>
            </w:tcMar>
          </w:tcPr>
          <w:p>
            <w:pPr>
              <w:spacing w:after="40" w:line="252" w:lineRule="auto"/>
            </w:pPr>
            <w:r/>
            <w:r>
              <w:rPr>
                <w:rFonts w:ascii="Calibri" w:hAnsi="Calibri"/>
                <w:b w:val="0"/>
                <w:color w:val="10283B"/>
                <w:sz w:val="16"/>
              </w:rPr>
              <w:t>Specific evidence, defensible judgement and feasible next action.</w:t>
            </w:r>
          </w:p>
        </w:tc>
      </w:tr>
    </w:tbl>
    <w:p/>
    <w:p>
      <w:pPr>
        <w:pStyle w:val="Heading2"/>
      </w:pPr>
      <w:r>
        <w:t>Feedback routine</w:t>
      </w:r>
    </w:p>
    <w:p>
      <w:pPr>
        <w:pStyle w:val="ListBullet"/>
      </w:pPr>
      <w:r>
        <w:t>Return students to the precise relevant theory section before giving additional help.</w:t>
      </w:r>
    </w:p>
    <w:p>
      <w:pPr>
        <w:pStyle w:val="ListBullet"/>
      </w:pPr>
      <w:r>
        <w:t>Use the label Appropriate response example; do not provide a teacher answer that can be copied as the student response.</w:t>
      </w:r>
    </w:p>
    <w:p>
      <w:pPr>
        <w:pStyle w:val="ListBullet"/>
      </w:pPr>
      <w:r>
        <w:t>Separate practice autosave from formal submission and current task status.</w:t>
      </w:r>
    </w:p>
    <w:p>
      <w:pPr>
        <w:pStyle w:val="ListBullet"/>
      </w:pPr>
      <w:r>
        <w:t>Record current faculty assessment decisions in the ratified task notice, not by silently changing source history.</w:t>
      </w:r>
    </w:p>
    <w:p>
      <w:r>
        <w:br w:type="page"/>
      </w:r>
    </w:p>
    <w:p>
      <w:pPr>
        <w:pStyle w:val="Heading1"/>
      </w:pPr>
      <w:r>
        <w:t>6. Adjustments, accessibility and extension</w:t>
      </w:r>
    </w:p>
    <w:tbl>
      <w:tblPr>
        <w:tblW w:type="dxa" w:w="13680"/>
        <w:tblLayout w:type="fixed"/>
        <w:tblLook w:firstColumn="1" w:firstRow="1" w:lastColumn="0" w:lastRow="0" w:noHBand="0" w:noVBand="1" w:val="04A0"/>
        <w:jc w:val="center"/>
        <w:tblInd w:type="dxa" w:w="120"/>
      </w:tblPr>
      <w:tblGrid>
        <w:gridCol w:w="2055"/>
        <w:gridCol w:w="6615"/>
        <w:gridCol w:w="5010"/>
      </w:tblGrid>
      <w:tr>
        <w:trPr>
          <w:tblHeader/>
        </w:trPr>
        <w:tc>
          <w:tcPr>
            <w:tcW w:type="dxa" w:w="2055"/>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Need</w:t>
            </w:r>
          </w:p>
        </w:tc>
        <w:tc>
          <w:tcPr>
            <w:tcW w:type="dxa" w:w="6615"/>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Planned support</w:t>
            </w:r>
          </w:p>
        </w:tc>
        <w:tc>
          <w:tcPr>
            <w:tcW w:type="dxa" w:w="501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Extension without changing the brief</w:t>
            </w:r>
          </w:p>
        </w:tc>
      </w:tr>
      <w:tr>
        <w:trPr/>
        <w:tc>
          <w:tcPr>
            <w:tcW w:type="dxa" w:w="2055"/>
            <w:vAlign w:val="center"/>
            <w:tcMar>
              <w:top w:w="80" w:type="dxa"/>
              <w:start w:w="120" w:type="dxa"/>
              <w:bottom w:w="80" w:type="dxa"/>
              <w:end w:w="120" w:type="dxa"/>
            </w:tcMar>
          </w:tcPr>
          <w:p>
            <w:pPr>
              <w:spacing w:after="40" w:line="252" w:lineRule="auto"/>
            </w:pPr>
            <w:r/>
            <w:r>
              <w:rPr>
                <w:rFonts w:ascii="Calibri" w:hAnsi="Calibri"/>
                <w:b w:val="0"/>
                <w:color w:val="10283B"/>
                <w:sz w:val="16"/>
              </w:rPr>
              <w:t>Literacy and language</w:t>
            </w:r>
          </w:p>
        </w:tc>
        <w:tc>
          <w:tcPr>
            <w:tcW w:type="dxa" w:w="6615"/>
            <w:vAlign w:val="center"/>
            <w:tcMar>
              <w:top w:w="80" w:type="dxa"/>
              <w:start w:w="120" w:type="dxa"/>
              <w:bottom w:w="80" w:type="dxa"/>
              <w:end w:w="120" w:type="dxa"/>
            </w:tcMar>
          </w:tcPr>
          <w:p>
            <w:pPr>
              <w:spacing w:after="40" w:line="252" w:lineRule="auto"/>
            </w:pPr>
            <w:r/>
            <w:r>
              <w:rPr>
                <w:rFonts w:ascii="Calibri" w:hAnsi="Calibri"/>
                <w:b w:val="0"/>
                <w:color w:val="10283B"/>
                <w:sz w:val="16"/>
              </w:rPr>
              <w:t>Plain-language “What is this asking?” guide, precise theory-return link, sentence starter and model structure.</w:t>
            </w:r>
          </w:p>
        </w:tc>
        <w:tc>
          <w:tcPr>
            <w:tcW w:type="dxa" w:w="5010"/>
            <w:vAlign w:val="center"/>
            <w:tcMar>
              <w:top w:w="80" w:type="dxa"/>
              <w:start w:w="120" w:type="dxa"/>
              <w:bottom w:w="80" w:type="dxa"/>
              <w:end w:w="120" w:type="dxa"/>
            </w:tcMar>
          </w:tcPr>
          <w:p>
            <w:pPr>
              <w:spacing w:after="40" w:line="252" w:lineRule="auto"/>
            </w:pPr>
            <w:r/>
            <w:r>
              <w:rPr>
                <w:rFonts w:ascii="Calibri" w:hAnsi="Calibri"/>
                <w:b w:val="0"/>
                <w:color w:val="10283B"/>
                <w:sz w:val="16"/>
              </w:rPr>
              <w:t>Require a stronger evidence chain, comparison of alternatives or more precise code trace.</w:t>
            </w:r>
          </w:p>
        </w:tc>
      </w:tr>
      <w:tr>
        <w:trPr/>
        <w:tc>
          <w:tcPr>
            <w:tcW w:type="dxa" w:w="2055"/>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Executive function</w:t>
            </w:r>
          </w:p>
        </w:tc>
        <w:tc>
          <w:tcPr>
            <w:tcW w:type="dxa" w:w="6615"/>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One module at a time, visible module contents, autosave, progress, backup and explicit evidence checkpoints.</w:t>
            </w:r>
          </w:p>
        </w:tc>
        <w:tc>
          <w:tcPr>
            <w:tcW w:type="dxa" w:w="501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 plans a more efficient test sequence and justifies priorities.</w:t>
            </w:r>
          </w:p>
        </w:tc>
      </w:tr>
      <w:tr>
        <w:trPr/>
        <w:tc>
          <w:tcPr>
            <w:tcW w:type="dxa" w:w="2055"/>
            <w:vAlign w:val="center"/>
            <w:tcMar>
              <w:top w:w="80" w:type="dxa"/>
              <w:start w:w="120" w:type="dxa"/>
              <w:bottom w:w="80" w:type="dxa"/>
              <w:end w:w="120" w:type="dxa"/>
            </w:tcMar>
          </w:tcPr>
          <w:p>
            <w:pPr>
              <w:spacing w:after="40" w:line="252" w:lineRule="auto"/>
            </w:pPr>
            <w:r/>
            <w:r>
              <w:rPr>
                <w:rFonts w:ascii="Calibri" w:hAnsi="Calibri"/>
                <w:b w:val="0"/>
                <w:color w:val="10283B"/>
                <w:sz w:val="16"/>
              </w:rPr>
              <w:t>Vision or reading access</w:t>
            </w:r>
          </w:p>
        </w:tc>
        <w:tc>
          <w:tcPr>
            <w:tcW w:type="dxa" w:w="6615"/>
            <w:vAlign w:val="center"/>
            <w:tcMar>
              <w:top w:w="80" w:type="dxa"/>
              <w:start w:w="120" w:type="dxa"/>
              <w:bottom w:w="80" w:type="dxa"/>
              <w:end w:w="120" w:type="dxa"/>
            </w:tcMar>
          </w:tcPr>
          <w:p>
            <w:pPr>
              <w:spacing w:after="40" w:line="252" w:lineRule="auto"/>
            </w:pPr>
            <w:r/>
            <w:r>
              <w:rPr>
                <w:rFonts w:ascii="Calibri" w:hAnsi="Calibri"/>
                <w:b w:val="0"/>
                <w:color w:val="10283B"/>
                <w:sz w:val="16"/>
              </w:rPr>
              <w:t>High contrast, keyboard navigation, text alternatives, open-larger diagrams, responsive layout and printable pages.</w:t>
            </w:r>
          </w:p>
        </w:tc>
        <w:tc>
          <w:tcPr>
            <w:tcW w:type="dxa" w:w="5010"/>
            <w:vAlign w:val="center"/>
            <w:tcMar>
              <w:top w:w="80" w:type="dxa"/>
              <w:start w:w="120" w:type="dxa"/>
              <w:bottom w:w="80" w:type="dxa"/>
              <w:end w:w="120" w:type="dxa"/>
            </w:tcMar>
          </w:tcPr>
          <w:p>
            <w:pPr>
              <w:spacing w:after="40" w:line="252" w:lineRule="auto"/>
            </w:pPr>
            <w:r/>
            <w:r>
              <w:rPr>
                <w:rFonts w:ascii="Calibri" w:hAnsi="Calibri"/>
                <w:b w:val="0"/>
                <w:color w:val="10283B"/>
                <w:sz w:val="16"/>
              </w:rPr>
              <w:t>Student improves diagram annotation and accessible explanation.</w:t>
            </w:r>
          </w:p>
        </w:tc>
      </w:tr>
      <w:tr>
        <w:trPr/>
        <w:tc>
          <w:tcPr>
            <w:tcW w:type="dxa" w:w="2055"/>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Coding confidence</w:t>
            </w:r>
          </w:p>
        </w:tc>
        <w:tc>
          <w:tcPr>
            <w:tcW w:type="dxa" w:w="6615"/>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Prediction before upload, dry-run tables, subsystem tests and one-change debugging.</w:t>
            </w:r>
          </w:p>
        </w:tc>
        <w:tc>
          <w:tcPr>
            <w:tcW w:type="dxa" w:w="501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 refactors repeated work using arrays, functions and bounded iteration.</w:t>
            </w:r>
          </w:p>
        </w:tc>
      </w:tr>
      <w:tr>
        <w:trPr/>
        <w:tc>
          <w:tcPr>
            <w:tcW w:type="dxa" w:w="2055"/>
            <w:vAlign w:val="center"/>
            <w:tcMar>
              <w:top w:w="80" w:type="dxa"/>
              <w:start w:w="120" w:type="dxa"/>
              <w:bottom w:w="80" w:type="dxa"/>
              <w:end w:w="120" w:type="dxa"/>
            </w:tcMar>
          </w:tcPr>
          <w:p>
            <w:pPr>
              <w:spacing w:after="40" w:line="252" w:lineRule="auto"/>
            </w:pPr>
            <w:r/>
            <w:r>
              <w:rPr>
                <w:rFonts w:ascii="Calibri" w:hAnsi="Calibri"/>
                <w:b w:val="0"/>
                <w:color w:val="10283B"/>
                <w:sz w:val="16"/>
              </w:rPr>
              <w:t>Practical access</w:t>
            </w:r>
          </w:p>
        </w:tc>
        <w:tc>
          <w:tcPr>
            <w:tcW w:type="dxa" w:w="6615"/>
            <w:vAlign w:val="center"/>
            <w:tcMar>
              <w:top w:w="80" w:type="dxa"/>
              <w:start w:w="120" w:type="dxa"/>
              <w:bottom w:w="80" w:type="dxa"/>
              <w:end w:w="120" w:type="dxa"/>
            </w:tcMar>
          </w:tcPr>
          <w:p>
            <w:pPr>
              <w:spacing w:after="40" w:line="252" w:lineRule="auto"/>
            </w:pPr>
            <w:r/>
            <w:r>
              <w:rPr>
                <w:rFonts w:ascii="Calibri" w:hAnsi="Calibri"/>
                <w:b w:val="0"/>
                <w:color w:val="10283B"/>
                <w:sz w:val="16"/>
              </w:rPr>
              <w:t>Teacher-confirmed pairing, equipment and timing adjustments; evidence may be separated from physical manipulation where appropriate.</w:t>
            </w:r>
          </w:p>
        </w:tc>
        <w:tc>
          <w:tcPr>
            <w:tcW w:type="dxa" w:w="5010"/>
            <w:vAlign w:val="center"/>
            <w:tcMar>
              <w:top w:w="80" w:type="dxa"/>
              <w:start w:w="120" w:type="dxa"/>
              <w:bottom w:w="80" w:type="dxa"/>
              <w:end w:w="120" w:type="dxa"/>
            </w:tcMar>
          </w:tcPr>
          <w:p>
            <w:pPr>
              <w:spacing w:after="40" w:line="252" w:lineRule="auto"/>
            </w:pPr>
            <w:r/>
            <w:r>
              <w:rPr>
                <w:rFonts w:ascii="Calibri" w:hAnsi="Calibri"/>
                <w:b w:val="0"/>
                <w:color w:val="10283B"/>
                <w:sz w:val="16"/>
              </w:rPr>
              <w:t>Student analyses a second combined-system challenge using the same fixed hardware.</w:t>
            </w:r>
          </w:p>
        </w:tc>
      </w:tr>
    </w:tbl>
    <w:p/>
    <w:p>
      <w:r>
        <w:t>Adjustments must preserve access to the learning intention and be decided in the current school context. Student medical, disability or personal information is not stored in this program or website.</w:t>
      </w:r>
    </w:p>
    <w:p>
      <w:r>
        <w:br w:type="page"/>
      </w:r>
    </w:p>
    <w:p>
      <w:pPr>
        <w:pStyle w:val="Heading1"/>
      </w:pPr>
      <w:r>
        <w:t>7. Safety, equipment and digital responsibility</w:t>
      </w:r>
    </w:p>
    <w:tbl>
      <w:tblPr>
        <w:tblW w:type="dxa" w:w="13680"/>
        <w:tblLayout w:type="fixed"/>
        <w:tblLook w:firstColumn="1" w:firstRow="1" w:lastColumn="0" w:lastRow="0" w:noHBand="0" w:noVBand="1" w:val="04A0"/>
        <w:jc w:val="center"/>
        <w:tblInd w:type="dxa" w:w="120"/>
      </w:tblPr>
      <w:tblGrid>
        <w:gridCol w:w="1991"/>
        <w:gridCol w:w="6423"/>
        <w:gridCol w:w="5266"/>
      </w:tblGrid>
      <w:tr>
        <w:trPr>
          <w:tblHeader/>
        </w:trPr>
        <w:tc>
          <w:tcPr>
            <w:tcW w:type="dxa" w:w="1991"/>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Area</w:t>
            </w:r>
          </w:p>
        </w:tc>
        <w:tc>
          <w:tcPr>
            <w:tcW w:type="dxa" w:w="6423"/>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Established course boundary</w:t>
            </w:r>
          </w:p>
        </w:tc>
        <w:tc>
          <w:tcPr>
            <w:tcW w:type="dxa" w:w="5266"/>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Teacher to confirm before delivery</w:t>
            </w:r>
          </w:p>
        </w:tc>
      </w:tr>
      <w:tr>
        <w:trPr/>
        <w:tc>
          <w:tcPr>
            <w:tcW w:type="dxa" w:w="1991"/>
            <w:vAlign w:val="center"/>
            <w:tcMar>
              <w:top w:w="80" w:type="dxa"/>
              <w:start w:w="120" w:type="dxa"/>
              <w:bottom w:w="80" w:type="dxa"/>
              <w:end w:w="120" w:type="dxa"/>
            </w:tcMar>
          </w:tcPr>
          <w:p>
            <w:pPr>
              <w:spacing w:after="40" w:line="252" w:lineRule="auto"/>
            </w:pPr>
            <w:r/>
            <w:r>
              <w:rPr>
                <w:rFonts w:ascii="Calibri" w:hAnsi="Calibri"/>
                <w:b w:val="0"/>
                <w:color w:val="10283B"/>
                <w:sz w:val="16"/>
              </w:rPr>
              <w:t>Hardware</w:t>
            </w:r>
          </w:p>
        </w:tc>
        <w:tc>
          <w:tcPr>
            <w:tcW w:type="dxa" w:w="6423"/>
            <w:vAlign w:val="center"/>
            <w:tcMar>
              <w:top w:w="80" w:type="dxa"/>
              <w:start w:w="120" w:type="dxa"/>
              <w:bottom w:w="80" w:type="dxa"/>
              <w:end w:w="120" w:type="dxa"/>
            </w:tcMar>
          </w:tcPr>
          <w:p>
            <w:pPr>
              <w:spacing w:after="40" w:line="252" w:lineRule="auto"/>
            </w:pPr>
            <w:r/>
            <w:r>
              <w:rPr>
                <w:rFonts w:ascii="Calibri" w:hAnsi="Calibri"/>
                <w:b w:val="0"/>
                <w:color w:val="10283B"/>
                <w:sz w:val="16"/>
              </w:rPr>
              <w:t>Use the supplied Arduino/ThinkerShield and blue USB cable on a clear stable workspace; pins in code match the fixed board.</w:t>
            </w:r>
          </w:p>
        </w:tc>
        <w:tc>
          <w:tcPr>
            <w:tcW w:type="dxa" w:w="5266"/>
            <w:vAlign w:val="center"/>
            <w:tcMar>
              <w:top w:w="80" w:type="dxa"/>
              <w:start w:w="120" w:type="dxa"/>
              <w:bottom w:w="80" w:type="dxa"/>
              <w:end w:w="120" w:type="dxa"/>
            </w:tcMar>
          </w:tcPr>
          <w:p>
            <w:pPr>
              <w:spacing w:after="40" w:line="252" w:lineRule="auto"/>
            </w:pPr>
            <w:r/>
            <w:r>
              <w:rPr>
                <w:rFonts w:ascii="Calibri" w:hAnsi="Calibri"/>
                <w:b w:val="0"/>
                <w:color w:val="10283B"/>
                <w:sz w:val="16"/>
              </w:rPr>
              <w:t>Equipment condition, damaged-item procedure, power and connection routine, storage and supervision.</w:t>
            </w:r>
          </w:p>
        </w:tc>
      </w:tr>
      <w:tr>
        <w:trPr/>
        <w:tc>
          <w:tcPr>
            <w:tcW w:type="dxa" w:w="199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Sound output</w:t>
            </w:r>
          </w:p>
        </w:tc>
        <w:tc>
          <w:tcPr>
            <w:tcW w:type="dxa" w:w="6423"/>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The buzzer is on pin 3; code explicitly starts and stops tones.</w:t>
            </w:r>
          </w:p>
        </w:tc>
        <w:tc>
          <w:tcPr>
            <w:tcW w:type="dxa" w:w="5266"/>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Acceptable classroom test frequency, duration, volume and sequence.</w:t>
            </w:r>
          </w:p>
        </w:tc>
      </w:tr>
      <w:tr>
        <w:trPr/>
        <w:tc>
          <w:tcPr>
            <w:tcW w:type="dxa" w:w="1991"/>
            <w:vAlign w:val="center"/>
            <w:tcMar>
              <w:top w:w="80" w:type="dxa"/>
              <w:start w:w="120" w:type="dxa"/>
              <w:bottom w:w="80" w:type="dxa"/>
              <w:end w:w="120" w:type="dxa"/>
            </w:tcMar>
          </w:tcPr>
          <w:p>
            <w:pPr>
              <w:spacing w:after="40" w:line="252" w:lineRule="auto"/>
            </w:pPr>
            <w:r/>
            <w:r>
              <w:rPr>
                <w:rFonts w:ascii="Calibri" w:hAnsi="Calibri"/>
                <w:b w:val="0"/>
                <w:color w:val="10283B"/>
                <w:sz w:val="16"/>
              </w:rPr>
              <w:t>Practical lesson</w:t>
            </w:r>
          </w:p>
        </w:tc>
        <w:tc>
          <w:tcPr>
            <w:tcW w:type="dxa" w:w="6423"/>
            <w:vAlign w:val="center"/>
            <w:tcMar>
              <w:top w:w="80" w:type="dxa"/>
              <w:start w:w="120" w:type="dxa"/>
              <w:bottom w:w="80" w:type="dxa"/>
              <w:end w:w="120" w:type="dxa"/>
            </w:tcMar>
          </w:tcPr>
          <w:p>
            <w:pPr>
              <w:spacing w:after="40" w:line="252" w:lineRule="auto"/>
            </w:pPr>
            <w:r/>
            <w:r>
              <w:rPr>
                <w:rFonts w:ascii="Calibri" w:hAnsi="Calibri"/>
                <w:b w:val="0"/>
                <w:color w:val="10283B"/>
                <w:sz w:val="16"/>
              </w:rPr>
              <w:t>Students predict, verify, upload, observe and record under teacher direction.</w:t>
            </w:r>
          </w:p>
        </w:tc>
        <w:tc>
          <w:tcPr>
            <w:tcW w:type="dxa" w:w="5266"/>
            <w:vAlign w:val="center"/>
            <w:tcMar>
              <w:top w:w="80" w:type="dxa"/>
              <w:start w:w="120" w:type="dxa"/>
              <w:bottom w:w="80" w:type="dxa"/>
              <w:end w:w="120" w:type="dxa"/>
            </w:tcMar>
          </w:tcPr>
          <w:p>
            <w:pPr>
              <w:spacing w:after="40" w:line="252" w:lineRule="auto"/>
            </w:pPr>
            <w:r/>
            <w:r>
              <w:rPr>
                <w:rFonts w:ascii="Calibri" w:hAnsi="Calibri"/>
                <w:b w:val="0"/>
                <w:color w:val="10283B"/>
                <w:sz w:val="16"/>
              </w:rPr>
              <w:t>Room-specific risk controls, movement, shared equipment, emergency and first-aid processes.</w:t>
            </w:r>
          </w:p>
        </w:tc>
      </w:tr>
      <w:tr>
        <w:trPr/>
        <w:tc>
          <w:tcPr>
            <w:tcW w:type="dxa" w:w="199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Digital files</w:t>
            </w:r>
          </w:p>
        </w:tc>
        <w:tc>
          <w:tcPr>
            <w:tcW w:type="dxa" w:w="6423"/>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Students keep named versions and a backup; website storage is device-local practice only.</w:t>
            </w:r>
          </w:p>
        </w:tc>
        <w:tc>
          <w:tcPr>
            <w:tcW w:type="dxa" w:w="5266"/>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Authorised Drive location, file naming, sharing, collaboration, source acknowledgement and Classroom turn-in.</w:t>
            </w:r>
          </w:p>
        </w:tc>
      </w:tr>
      <w:tr>
        <w:trPr/>
        <w:tc>
          <w:tcPr>
            <w:tcW w:type="dxa" w:w="1991"/>
            <w:vAlign w:val="center"/>
            <w:tcMar>
              <w:top w:w="80" w:type="dxa"/>
              <w:start w:w="120" w:type="dxa"/>
              <w:bottom w:w="80" w:type="dxa"/>
              <w:end w:w="120" w:type="dxa"/>
            </w:tcMar>
          </w:tcPr>
          <w:p>
            <w:pPr>
              <w:spacing w:after="40" w:line="252" w:lineRule="auto"/>
            </w:pPr>
            <w:r/>
            <w:r>
              <w:rPr>
                <w:rFonts w:ascii="Calibri" w:hAnsi="Calibri"/>
                <w:b w:val="0"/>
                <w:color w:val="10283B"/>
                <w:sz w:val="16"/>
              </w:rPr>
              <w:t>Privacy</w:t>
            </w:r>
          </w:p>
        </w:tc>
        <w:tc>
          <w:tcPr>
            <w:tcW w:type="dxa" w:w="6423"/>
            <w:vAlign w:val="center"/>
            <w:tcMar>
              <w:top w:w="80" w:type="dxa"/>
              <w:start w:w="120" w:type="dxa"/>
              <w:bottom w:w="80" w:type="dxa"/>
              <w:end w:w="120" w:type="dxa"/>
            </w:tcMar>
          </w:tcPr>
          <w:p>
            <w:pPr>
              <w:spacing w:after="40" w:line="252" w:lineRule="auto"/>
            </w:pPr>
            <w:r/>
            <w:r>
              <w:rPr>
                <w:rFonts w:ascii="Calibri" w:hAnsi="Calibri"/>
                <w:b w:val="0"/>
                <w:color w:val="10283B"/>
                <w:sz w:val="16"/>
              </w:rPr>
              <w:t>No student submissions, names, grades or private photographs are embedded in the published course.</w:t>
            </w:r>
          </w:p>
        </w:tc>
        <w:tc>
          <w:tcPr>
            <w:tcW w:type="dxa" w:w="5266"/>
            <w:vAlign w:val="center"/>
            <w:tcMar>
              <w:top w:w="80" w:type="dxa"/>
              <w:start w:w="120" w:type="dxa"/>
              <w:bottom w:w="80" w:type="dxa"/>
              <w:end w:w="120" w:type="dxa"/>
            </w:tcMar>
          </w:tcPr>
          <w:p>
            <w:pPr>
              <w:spacing w:after="40" w:line="252" w:lineRule="auto"/>
            </w:pPr>
            <w:r/>
            <w:r>
              <w:rPr>
                <w:rFonts w:ascii="Calibri" w:hAnsi="Calibri"/>
                <w:b w:val="0"/>
                <w:color w:val="10283B"/>
                <w:sz w:val="16"/>
              </w:rPr>
              <w:t>Any student media collection, consent, storage, access and deletion process.</w:t>
            </w:r>
          </w:p>
        </w:tc>
      </w:tr>
    </w:tbl>
    <w:p/>
    <w:p>
      <w:r>
        <w:br w:type="page"/>
      </w:r>
    </w:p>
    <w:p>
      <w:pPr>
        <w:pStyle w:val="Heading1"/>
      </w:pPr>
      <w:r>
        <w:t>8. Resources, preparation and source ledger</w:t>
      </w:r>
    </w:p>
    <w:p>
      <w:pPr>
        <w:pStyle w:val="Heading2"/>
      </w:pPr>
      <w:r>
        <w:t>Core resources</w:t>
      </w:r>
    </w:p>
    <w:p>
      <w:pPr>
        <w:pStyle w:val="ListBullet"/>
      </w:pPr>
      <w:r>
        <w:t>Crack the Code course website and ten module presentations.</w:t>
      </w:r>
    </w:p>
    <w:p>
      <w:pPr>
        <w:pStyle w:val="ListBullet"/>
      </w:pPr>
      <w:r>
        <w:t>Arduino-compatible microcontroller, ThinkerShield, blue USB cable and teacher-approved computers/software.</w:t>
      </w:r>
    </w:p>
    <w:p>
      <w:pPr>
        <w:pStyle w:val="ListBullet"/>
      </w:pPr>
      <w:r>
        <w:t>Authorised Classroom activity instructions, activity book and source code documents.</w:t>
      </w:r>
    </w:p>
    <w:p>
      <w:pPr>
        <w:pStyle w:val="ListBullet"/>
      </w:pPr>
      <w:r>
        <w:t>Teacher-confirmed storage, backup and submission locations.</w:t>
      </w:r>
    </w:p>
    <w:p>
      <w:pPr>
        <w:pStyle w:val="Heading2"/>
      </w:pPr>
      <w:r>
        <w:t>Authoritative sources</w:t>
      </w:r>
    </w:p>
    <w:tbl>
      <w:tblPr>
        <w:tblW w:type="dxa" w:w="13680"/>
        <w:tblLayout w:type="fixed"/>
        <w:tblLook w:firstColumn="1" w:firstRow="1" w:lastColumn="0" w:lastRow="0" w:noHBand="0" w:noVBand="1" w:val="04A0"/>
        <w:jc w:val="center"/>
        <w:tblInd w:type="dxa" w:w="120"/>
      </w:tblPr>
      <w:tblGrid>
        <w:gridCol w:w="5459"/>
        <w:gridCol w:w="8221"/>
      </w:tblGrid>
      <w:tr>
        <w:trPr>
          <w:tblHeader/>
        </w:trPr>
        <w:tc>
          <w:tcPr>
            <w:tcW w:type="dxa" w:w="5459"/>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Source</w:t>
            </w:r>
          </w:p>
        </w:tc>
        <w:tc>
          <w:tcPr>
            <w:tcW w:type="dxa" w:w="8221"/>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Use in this program</w:t>
            </w:r>
          </w:p>
        </w:tc>
      </w:tr>
      <w:tr>
        <w:trPr/>
        <w:tc>
          <w:tcPr>
            <w:tcW w:type="dxa" w:w="5459"/>
            <w:vAlign w:val="center"/>
            <w:tcMar>
              <w:top w:w="80" w:type="dxa"/>
              <w:start w:w="120" w:type="dxa"/>
              <w:bottom w:w="80" w:type="dxa"/>
              <w:end w:w="120" w:type="dxa"/>
            </w:tcMar>
          </w:tcPr>
          <w:p>
            <w:pPr>
              <w:spacing w:after="40" w:line="252" w:lineRule="auto"/>
            </w:pPr>
            <w:r/>
            <w:r>
              <w:rPr>
                <w:rFonts w:ascii="Calibri" w:hAnsi="Calibri"/>
                <w:b w:val="0"/>
                <w:color w:val="10283B"/>
                <w:sz w:val="16"/>
              </w:rPr>
              <w:t>Archived 2025 Crack the Code Google Classroom classwork and teacher-master Drive folder</w:t>
            </w:r>
          </w:p>
        </w:tc>
        <w:tc>
          <w:tcPr>
            <w:tcW w:type="dxa" w:w="8221"/>
            <w:vAlign w:val="center"/>
            <w:tcMar>
              <w:top w:w="80" w:type="dxa"/>
              <w:start w:w="120" w:type="dxa"/>
              <w:bottom w:w="80" w:type="dxa"/>
              <w:end w:w="120" w:type="dxa"/>
            </w:tcMar>
          </w:tcPr>
          <w:p>
            <w:pPr>
              <w:spacing w:after="40" w:line="252" w:lineRule="auto"/>
            </w:pPr>
            <w:r/>
            <w:r>
              <w:rPr>
                <w:rFonts w:ascii="Calibri" w:hAnsi="Calibri"/>
                <w:b w:val="0"/>
                <w:color w:val="10283B"/>
                <w:sz w:val="16"/>
              </w:rPr>
              <w:t>Activity names, order, hardware map, coding pathway and final alarm challenge.</w:t>
            </w:r>
          </w:p>
        </w:tc>
      </w:tr>
      <w:tr>
        <w:trPr/>
        <w:tc>
          <w:tcPr>
            <w:tcW w:type="dxa" w:w="5459"/>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NESA Technology 7–8 Syllabus (2023) overview, outcomes and glossary</w:t>
            </w:r>
          </w:p>
        </w:tc>
        <w:tc>
          <w:tcPr>
            <w:tcW w:type="dxa" w:w="8221"/>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Implementation boundary, Stage 4 outcome wording and current branching definition.</w:t>
            </w:r>
          </w:p>
        </w:tc>
      </w:tr>
      <w:tr>
        <w:trPr/>
        <w:tc>
          <w:tcPr>
            <w:tcW w:type="dxa" w:w="5459"/>
            <w:vAlign w:val="center"/>
            <w:tcMar>
              <w:top w:w="80" w:type="dxa"/>
              <w:start w:w="120" w:type="dxa"/>
              <w:bottom w:w="80" w:type="dxa"/>
              <w:end w:w="120" w:type="dxa"/>
            </w:tcMar>
          </w:tcPr>
          <w:p>
            <w:pPr>
              <w:spacing w:after="40" w:line="252" w:lineRule="auto"/>
            </w:pPr>
            <w:r/>
            <w:r>
              <w:rPr>
                <w:rFonts w:ascii="Calibri" w:hAnsi="Calibri"/>
                <w:b w:val="0"/>
                <w:color w:val="10283B"/>
                <w:sz w:val="16"/>
              </w:rPr>
              <w:t>Teacher confirmation before implementation</w:t>
            </w:r>
          </w:p>
        </w:tc>
        <w:tc>
          <w:tcPr>
            <w:tcW w:type="dxa" w:w="8221"/>
            <w:vAlign w:val="center"/>
            <w:tcMar>
              <w:top w:w="80" w:type="dxa"/>
              <w:start w:w="120" w:type="dxa"/>
              <w:bottom w:w="80" w:type="dxa"/>
              <w:end w:w="120" w:type="dxa"/>
            </w:tcMar>
          </w:tcPr>
          <w:p>
            <w:pPr>
              <w:spacing w:after="40" w:line="252" w:lineRule="auto"/>
            </w:pPr>
            <w:r/>
            <w:r>
              <w:rPr>
                <w:rFonts w:ascii="Calibri" w:hAnsi="Calibri"/>
                <w:b w:val="0"/>
                <w:color w:val="10283B"/>
                <w:sz w:val="16"/>
              </w:rPr>
              <w:t>Dates, marks, rubric, lesson allocation, equipment access, supervision, risk controls and formal submission.</w:t>
            </w:r>
          </w:p>
        </w:tc>
      </w:tr>
    </w:tbl>
    <w:p/>
    <w:p>
      <w:pPr>
        <w:pStyle w:val="Heading2"/>
      </w:pPr>
      <w:r>
        <w:t>Review and sign-off</w:t>
      </w:r>
    </w:p>
    <w:tbl>
      <w:tblPr>
        <w:tblW w:type="dxa" w:w="13680"/>
        <w:tblLayout w:type="fixed"/>
        <w:tblLook w:firstColumn="1" w:firstRow="1" w:lastColumn="0" w:lastRow="0" w:noHBand="0" w:noVBand="1" w:val="04A0"/>
        <w:jc w:val="center"/>
        <w:tblInd w:type="dxa" w:w="120"/>
      </w:tblPr>
      <w:tblGrid>
        <w:gridCol w:w="4110"/>
        <w:gridCol w:w="9570"/>
      </w:tblGrid>
      <w:tr>
        <w:trPr>
          <w:tblHeader/>
        </w:trPr>
        <w:tc>
          <w:tcPr>
            <w:tcW w:type="dxa" w:w="411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Review item</w:t>
            </w:r>
          </w:p>
        </w:tc>
        <w:tc>
          <w:tcPr>
            <w:tcW w:type="dxa" w:w="9570"/>
            <w:vAlign w:val="center"/>
            <w:tcMar>
              <w:top w:w="80" w:type="dxa"/>
              <w:start w:w="120" w:type="dxa"/>
              <w:bottom w:w="80" w:type="dxa"/>
              <w:end w:w="120" w:type="dxa"/>
            </w:tcMar>
            <w:shd w:fill="071A2B"/>
          </w:tcPr>
          <w:p>
            <w:pPr>
              <w:spacing w:after="40" w:line="252" w:lineRule="auto"/>
            </w:pPr>
            <w:r/>
            <w:r>
              <w:rPr>
                <w:rFonts w:ascii="Calibri" w:hAnsi="Calibri"/>
                <w:b/>
                <w:color w:val="FFFFFF"/>
                <w:sz w:val="16"/>
              </w:rPr>
              <w:t>Name / decision / date</w:t>
            </w:r>
          </w:p>
        </w:tc>
      </w:tr>
      <w:tr>
        <w:trPr/>
        <w:tc>
          <w:tcPr>
            <w:tcW w:type="dxa" w:w="4110"/>
            <w:vAlign w:val="center"/>
            <w:tcMar>
              <w:top w:w="80" w:type="dxa"/>
              <w:start w:w="120" w:type="dxa"/>
              <w:bottom w:w="80" w:type="dxa"/>
              <w:end w:w="120" w:type="dxa"/>
            </w:tcMar>
          </w:tcPr>
          <w:p>
            <w:pPr>
              <w:spacing w:after="40" w:line="252" w:lineRule="auto"/>
            </w:pPr>
            <w:r/>
            <w:r>
              <w:rPr>
                <w:rFonts w:ascii="Calibri" w:hAnsi="Calibri"/>
                <w:b w:val="0"/>
                <w:color w:val="10283B"/>
                <w:sz w:val="16"/>
              </w:rPr>
              <w:t>Faculty review</w:t>
            </w:r>
          </w:p>
        </w:tc>
        <w:tc>
          <w:tcPr>
            <w:tcW w:type="dxa" w:w="9570"/>
            <w:vAlign w:val="center"/>
            <w:tcMar>
              <w:top w:w="80" w:type="dxa"/>
              <w:start w:w="120" w:type="dxa"/>
              <w:bottom w:w="80" w:type="dxa"/>
              <w:end w:w="120" w:type="dxa"/>
            </w:tcMar>
          </w:tcPr>
          <w:p>
            <w:pPr>
              <w:spacing w:after="40" w:line="252" w:lineRule="auto"/>
            </w:pPr>
            <w:r/>
            <w:r>
              <w:rPr>
                <w:rFonts w:ascii="Calibri" w:hAnsi="Calibri"/>
                <w:b w:val="0"/>
                <w:color w:val="10283B"/>
                <w:sz w:val="16"/>
              </w:rPr>
            </w:r>
          </w:p>
        </w:tc>
      </w:tr>
      <w:tr>
        <w:trPr/>
        <w:tc>
          <w:tcPr>
            <w:tcW w:type="dxa" w:w="411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Current assessment status</w:t>
            </w:r>
          </w:p>
        </w:tc>
        <w:tc>
          <w:tcPr>
            <w:tcW w:type="dxa" w:w="95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Teacher to confirm</w:t>
            </w:r>
          </w:p>
        </w:tc>
      </w:tr>
      <w:tr>
        <w:trPr/>
        <w:tc>
          <w:tcPr>
            <w:tcW w:type="dxa" w:w="4110"/>
            <w:vAlign w:val="center"/>
            <w:tcMar>
              <w:top w:w="80" w:type="dxa"/>
              <w:start w:w="120" w:type="dxa"/>
              <w:bottom w:w="80" w:type="dxa"/>
              <w:end w:w="120" w:type="dxa"/>
            </w:tcMar>
          </w:tcPr>
          <w:p>
            <w:pPr>
              <w:spacing w:after="40" w:line="252" w:lineRule="auto"/>
            </w:pPr>
            <w:r/>
            <w:r>
              <w:rPr>
                <w:rFonts w:ascii="Calibri" w:hAnsi="Calibri"/>
                <w:b w:val="0"/>
                <w:color w:val="10283B"/>
                <w:sz w:val="16"/>
              </w:rPr>
              <w:t>Risk and equipment review</w:t>
            </w:r>
          </w:p>
        </w:tc>
        <w:tc>
          <w:tcPr>
            <w:tcW w:type="dxa" w:w="9570"/>
            <w:vAlign w:val="center"/>
            <w:tcMar>
              <w:top w:w="80" w:type="dxa"/>
              <w:start w:w="120" w:type="dxa"/>
              <w:bottom w:w="80" w:type="dxa"/>
              <w:end w:w="120" w:type="dxa"/>
            </w:tcMar>
          </w:tcPr>
          <w:p>
            <w:pPr>
              <w:spacing w:after="40" w:line="252" w:lineRule="auto"/>
            </w:pPr>
            <w:r/>
            <w:r>
              <w:rPr>
                <w:rFonts w:ascii="Calibri" w:hAnsi="Calibri"/>
                <w:b w:val="0"/>
                <w:color w:val="10283B"/>
                <w:sz w:val="16"/>
              </w:rPr>
              <w:t>Teacher to confirm</w:t>
            </w:r>
          </w:p>
        </w:tc>
      </w:tr>
      <w:tr>
        <w:trPr/>
        <w:tc>
          <w:tcPr>
            <w:tcW w:type="dxa" w:w="411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Lesson allocation</w:t>
            </w:r>
          </w:p>
        </w:tc>
        <w:tc>
          <w:tcPr>
            <w:tcW w:type="dxa" w:w="9570"/>
            <w:vAlign w:val="center"/>
            <w:tcMar>
              <w:top w:w="80" w:type="dxa"/>
              <w:start w:w="120" w:type="dxa"/>
              <w:bottom w:w="80" w:type="dxa"/>
              <w:end w:w="120" w:type="dxa"/>
            </w:tcMar>
            <w:shd w:fill="F5F9FC"/>
          </w:tcPr>
          <w:p>
            <w:pPr>
              <w:spacing w:after="40" w:line="252" w:lineRule="auto"/>
            </w:pPr>
            <w:r/>
            <w:r>
              <w:rPr>
                <w:rFonts w:ascii="Calibri" w:hAnsi="Calibri"/>
                <w:b w:val="0"/>
                <w:color w:val="10283B"/>
                <w:sz w:val="16"/>
              </w:rPr>
              <w:t>Teacher to confirm</w:t>
            </w:r>
          </w:p>
        </w:tc>
      </w:tr>
      <w:tr>
        <w:trPr/>
        <w:tc>
          <w:tcPr>
            <w:tcW w:type="dxa" w:w="4110"/>
            <w:vAlign w:val="center"/>
            <w:tcMar>
              <w:top w:w="80" w:type="dxa"/>
              <w:start w:w="120" w:type="dxa"/>
              <w:bottom w:w="80" w:type="dxa"/>
              <w:end w:w="120" w:type="dxa"/>
            </w:tcMar>
          </w:tcPr>
          <w:p>
            <w:pPr>
              <w:spacing w:after="40" w:line="252" w:lineRule="auto"/>
            </w:pPr>
            <w:r/>
            <w:r>
              <w:rPr>
                <w:rFonts w:ascii="Calibri" w:hAnsi="Calibri"/>
                <w:b w:val="0"/>
                <w:color w:val="10283B"/>
                <w:sz w:val="16"/>
              </w:rPr>
              <w:t>Submission and storage process</w:t>
            </w:r>
          </w:p>
        </w:tc>
        <w:tc>
          <w:tcPr>
            <w:tcW w:type="dxa" w:w="9570"/>
            <w:vAlign w:val="center"/>
            <w:tcMar>
              <w:top w:w="80" w:type="dxa"/>
              <w:start w:w="120" w:type="dxa"/>
              <w:bottom w:w="80" w:type="dxa"/>
              <w:end w:w="120" w:type="dxa"/>
            </w:tcMar>
          </w:tcPr>
          <w:p>
            <w:pPr>
              <w:spacing w:after="40" w:line="252" w:lineRule="auto"/>
            </w:pPr>
            <w:r/>
            <w:r>
              <w:rPr>
                <w:rFonts w:ascii="Calibri" w:hAnsi="Calibri"/>
                <w:b w:val="0"/>
                <w:color w:val="10283B"/>
                <w:sz w:val="16"/>
              </w:rPr>
              <w:t>Teacher to confirm</w:t>
            </w:r>
          </w:p>
        </w:tc>
      </w:tr>
    </w:tbl>
    <w:p/>
    <w:sectPr w:rsidR="00FC693F" w:rsidRPr="0006063C" w:rsidSect="00034616">
      <w:headerReference w:type="default" r:id="rId9"/>
      <w:footerReference w:type="default" r:id="rId10"/>
      <w:pgSz w:w="16834" w:h="11909" w:orient="landscape"/>
      <w:pgMar w:top="893" w:right="979" w:bottom="893" w:left="97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Teacher program  |  August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0B6076"/>
        <w:sz w:val="16"/>
      </w:rPr>
      <w:t>CRACK THE CODE  |  YEAR 7–8 TECHNOLOGY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028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71A2B"/>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B6076"/>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607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71A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