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8D9FF"/>
          <w:sz w:val="24"/>
        </w:rPr>
        <w:t>CRACK THE CODE</w:t>
      </w:r>
    </w:p>
    <w:p>
      <w:pPr>
        <w:jc w:val="center"/>
      </w:pPr>
      <w:r>
        <w:rPr>
          <w:b/>
          <w:color w:val="071A2B"/>
          <w:sz w:val="60"/>
        </w:rPr>
        <w:t>10-week teaching program and scope sequence</w:t>
      </w:r>
    </w:p>
    <w:p>
      <w:pPr>
        <w:jc w:val="center"/>
      </w:pPr>
      <w:r>
        <w:rPr>
          <w:color w:val="0B6076"/>
          <w:sz w:val="32"/>
        </w:rPr>
        <w:t>Year 7–8 Technology · data and digital systems · ThinkerShield alarm project</w:t>
      </w:r>
    </w:p>
    <w:p/>
    <w:tbl>
      <w:tblPr>
        <w:tblW w:type="auto" w:w="0"/>
        <w:jc w:val="center"/>
        <w:tblLayout w:type="fixed"/>
        <w:tblLook w:firstColumn="1" w:firstRow="1" w:lastColumn="0" w:lastRow="0" w:noHBand="0" w:noVBand="1" w:val="04A0"/>
      </w:tblPr>
      <w:tblGrid>
        <w:gridCol w:w="2880"/>
        <w:gridCol w:w="11664"/>
      </w:tblGrid>
      <w:tr>
        <w:trPr>
          <w:tblHeader/>
        </w:trPr>
        <w:tc>
          <w:tcPr>
            <w:tcW w:type="dxa" w:w="7438"/>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Program field</w:t>
            </w:r>
          </w:p>
        </w:tc>
        <w:tc>
          <w:tcPr>
            <w:tcW w:type="dxa" w:w="7438"/>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Current position</w:t>
            </w:r>
          </w:p>
        </w:tc>
      </w:tr>
      <w:tr>
        <w:tc>
          <w:tcPr>
            <w:tcW w:type="dxa" w:w="2880"/>
            <w:vAlign w:val="center"/>
            <w:tcMar>
              <w:top w:w="80" w:type="dxa"/>
              <w:start w:w="120" w:type="dxa"/>
              <w:bottom w:w="80" w:type="dxa"/>
              <w:end w:w="120" w:type="dxa"/>
            </w:tcMar>
          </w:tcPr>
          <w:p>
            <w:pPr>
              <w:spacing w:after="40" w:line="252" w:lineRule="auto"/>
            </w:pPr>
            <w:r/>
            <w:r>
              <w:rPr>
                <w:rFonts w:ascii="Calibri" w:hAnsi="Calibri"/>
                <w:b w:val="0"/>
                <w:color w:val="10283B"/>
                <w:sz w:val="16"/>
              </w:rPr>
              <w:t>Syllabus</w:t>
            </w:r>
          </w:p>
        </w:tc>
        <w:tc>
          <w:tcPr>
            <w:tcW w:type="dxa" w:w="11664"/>
            <w:vAlign w:val="center"/>
            <w:tcMar>
              <w:top w:w="80" w:type="dxa"/>
              <w:start w:w="120" w:type="dxa"/>
              <w:bottom w:w="80" w:type="dxa"/>
              <w:end w:w="120" w:type="dxa"/>
            </w:tcMar>
          </w:tcPr>
          <w:p>
            <w:pPr>
              <w:spacing w:after="40" w:line="252" w:lineRule="auto"/>
            </w:pPr>
            <w:r/>
            <w:r>
              <w:rPr>
                <w:rFonts w:ascii="Calibri" w:hAnsi="Calibri"/>
                <w:b w:val="0"/>
                <w:color w:val="10283B"/>
                <w:sz w:val="16"/>
              </w:rPr>
              <w:t>NSW Technology 7–8 Syllabus (2023), implementation from 2026</w:t>
            </w:r>
          </w:p>
        </w:tc>
      </w:tr>
      <w:tr>
        <w:tc>
          <w:tcPr>
            <w:tcW w:type="dxa" w:w="2880"/>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Duration</w:t>
            </w:r>
          </w:p>
        </w:tc>
        <w:tc>
          <w:tcPr>
            <w:tcW w:type="dxa" w:w="11664"/>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10 weeks; exact lesson allocation Teacher to confirm</w:t>
            </w:r>
          </w:p>
        </w:tc>
      </w:tr>
      <w:tr>
        <w:tc>
          <w:tcPr>
            <w:tcW w:type="dxa" w:w="2880"/>
            <w:vAlign w:val="center"/>
            <w:tcMar>
              <w:top w:w="80" w:type="dxa"/>
              <w:start w:w="120" w:type="dxa"/>
              <w:bottom w:w="80" w:type="dxa"/>
              <w:end w:w="120" w:type="dxa"/>
            </w:tcMar>
          </w:tcPr>
          <w:p>
            <w:pPr>
              <w:spacing w:after="40" w:line="252" w:lineRule="auto"/>
            </w:pPr>
            <w:r/>
            <w:r>
              <w:rPr>
                <w:rFonts w:ascii="Calibri" w:hAnsi="Calibri"/>
                <w:b w:val="0"/>
                <w:color w:val="10283B"/>
                <w:sz w:val="16"/>
              </w:rPr>
              <w:t>Central outcome</w:t>
            </w:r>
          </w:p>
        </w:tc>
        <w:tc>
          <w:tcPr>
            <w:tcW w:type="dxa" w:w="11664"/>
            <w:vAlign w:val="center"/>
            <w:tcMar>
              <w:top w:w="80" w:type="dxa"/>
              <w:start w:w="120" w:type="dxa"/>
              <w:bottom w:w="80" w:type="dxa"/>
              <w:end w:w="120" w:type="dxa"/>
            </w:tcMar>
          </w:tcPr>
          <w:p>
            <w:pPr>
              <w:spacing w:after="40" w:line="252" w:lineRule="auto"/>
            </w:pPr>
            <w:r/>
            <w:r>
              <w:rPr>
                <w:rFonts w:ascii="Calibri" w:hAnsi="Calibri"/>
                <w:b w:val="0"/>
                <w:color w:val="10283B"/>
                <w:sz w:val="16"/>
              </w:rPr>
              <w:t>TE4-DIG-02 — uses data and digital systems to code, design and produce projects</w:t>
            </w:r>
          </w:p>
        </w:tc>
      </w:tr>
      <w:tr>
        <w:tc>
          <w:tcPr>
            <w:tcW w:type="dxa" w:w="2880"/>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Primary course evidence</w:t>
            </w:r>
          </w:p>
        </w:tc>
        <w:tc>
          <w:tcPr>
            <w:tcW w:type="dxa" w:w="11664"/>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Authorised archived Classroom classwork and teacher-master Drive folder</w:t>
            </w:r>
          </w:p>
        </w:tc>
      </w:tr>
      <w:tr>
        <w:tc>
          <w:tcPr>
            <w:tcW w:type="dxa" w:w="2880"/>
            <w:vAlign w:val="center"/>
            <w:tcMar>
              <w:top w:w="80" w:type="dxa"/>
              <w:start w:w="120" w:type="dxa"/>
              <w:bottom w:w="80" w:type="dxa"/>
              <w:end w:w="120" w:type="dxa"/>
            </w:tcMar>
          </w:tcPr>
          <w:p>
            <w:pPr>
              <w:spacing w:after="40" w:line="252" w:lineRule="auto"/>
            </w:pPr>
            <w:r/>
            <w:r>
              <w:rPr>
                <w:rFonts w:ascii="Calibri" w:hAnsi="Calibri"/>
                <w:b w:val="0"/>
                <w:color w:val="10283B"/>
                <w:sz w:val="16"/>
              </w:rPr>
              <w:t>Final challenge</w:t>
            </w:r>
          </w:p>
        </w:tc>
        <w:tc>
          <w:tcPr>
            <w:tcW w:type="dxa" w:w="11664"/>
            <w:vAlign w:val="center"/>
            <w:tcMar>
              <w:top w:w="80" w:type="dxa"/>
              <w:start w:w="120" w:type="dxa"/>
              <w:bottom w:w="80" w:type="dxa"/>
              <w:end w:w="120" w:type="dxa"/>
            </w:tcMar>
          </w:tcPr>
          <w:p>
            <w:pPr>
              <w:spacing w:after="40" w:line="252" w:lineRule="auto"/>
            </w:pPr>
            <w:r/>
            <w:r>
              <w:rPr>
                <w:rFonts w:ascii="Calibri" w:hAnsi="Calibri"/>
                <w:b w:val="0"/>
                <w:color w:val="10283B"/>
                <w:sz w:val="16"/>
              </w:rPr>
              <w:t>Design, produce and evaluate a ThinkerShield alarm or alert that protects something the student cares about</w:t>
            </w:r>
          </w:p>
        </w:tc>
      </w:tr>
      <w:tr>
        <w:tc>
          <w:tcPr>
            <w:tcW w:type="dxa" w:w="2880"/>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Administrative boundary</w:t>
            </w:r>
          </w:p>
        </w:tc>
        <w:tc>
          <w:tcPr>
            <w:tcW w:type="dxa" w:w="11664"/>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Dates, marks, rubric, submission route, equipment access and current risk controls: Teacher to confirm</w:t>
            </w:r>
          </w:p>
        </w:tc>
      </w:tr>
    </w:tbl>
    <w:p/>
    <w:p>
      <w:pPr>
        <w:jc w:val="center"/>
      </w:pPr>
      <w:r>
        <w:rPr>
          <w:b/>
          <w:color w:val="0B6076"/>
        </w:rPr>
        <w:t>Document status: source-bound implementation draft for faculty review and current-school confirmation.</w:t>
      </w:r>
    </w:p>
    <w:p>
      <w:r>
        <w:br w:type="page"/>
      </w:r>
    </w:p>
    <w:p>
      <w:pPr>
        <w:pStyle w:val="Heading1"/>
      </w:pPr>
      <w:r>
        <w:t>1. Program rationale and learning design</w:t>
      </w:r>
    </w:p>
    <w:p>
      <w:r>
        <w:t>Crack the Code develops technological literacy through a coherent progression from control-system concepts to an independently planned alarm project. Students read real sensor data, express algorithms in several representations, code fixed inputs and outputs, test predicted behaviour, debug systematically and evaluate the result against evidence.</w:t>
      </w:r>
    </w:p>
    <w:p>
      <w:pPr>
        <w:pStyle w:val="Heading2"/>
      </w:pPr>
      <w:r>
        <w:t>Student learning package</w:t>
      </w:r>
    </w:p>
    <w:p>
      <w:pPr>
        <w:pStyle w:val="ListBullet"/>
      </w:pPr>
      <w:r>
        <w:t>Ten dedicated modules; each contains three named theory sections.</w:t>
      </w:r>
    </w:p>
    <w:p>
      <w:pPr>
        <w:pStyle w:val="ListBullet"/>
      </w:pPr>
      <w:r>
        <w:t>Ten adjacent knowledge-check questions and one guided written response for every theory section.</w:t>
      </w:r>
    </w:p>
    <w:p>
      <w:pPr>
        <w:pStyle w:val="ListBullet"/>
      </w:pPr>
      <w:r>
        <w:t>A student-controlled video, purposeful diagram and eight-slide learning presentation for every module sequence.</w:t>
      </w:r>
    </w:p>
    <w:p>
      <w:pPr>
        <w:pStyle w:val="ListBullet"/>
      </w:pPr>
      <w:r>
        <w:t>Ten autosaving activity studios covering all sixteen authorised practical tasks.</w:t>
      </w:r>
    </w:p>
    <w:p>
      <w:pPr>
        <w:pStyle w:val="ListBullet"/>
      </w:pPr>
      <w:r>
        <w:t>A consolidated device-local folio with backup, restore and print functions.</w:t>
      </w:r>
    </w:p>
    <w:p>
      <w:pPr>
        <w:pStyle w:val="ListBullet"/>
      </w:pPr>
      <w:r>
        <w:t>Assessment and teacher pages that mark every unset administrative fact as Teacher to confirm.</w:t>
      </w:r>
    </w:p>
    <w:p>
      <w:pPr>
        <w:pStyle w:val="Heading2"/>
      </w:pPr>
      <w:r>
        <w:t>Course constraints and source corrections</w:t>
      </w:r>
    </w:p>
    <w:p>
      <w:pPr>
        <w:pStyle w:val="ListBullet"/>
      </w:pPr>
      <w:r>
        <w:t>Fixed inputs: button pin 7, LDR A4, potentiometer A5. Fixed outputs: LEDs pins 8–13 and buzzer pin 3.</w:t>
      </w:r>
    </w:p>
    <w:p>
      <w:pPr>
        <w:pStyle w:val="ListBullet"/>
      </w:pPr>
      <w:r>
        <w:t>Historical dates and the earlier 20-mark rubric are evidence of an older delivery only; they are not current facts.</w:t>
      </w:r>
    </w:p>
    <w:p>
      <w:pPr>
        <w:pStyle w:val="ListBullet"/>
      </w:pPr>
      <w:r>
        <w:t>The new-syllabus meaning of branching is used: a conditional instruction selects different actions.</w:t>
      </w:r>
    </w:p>
    <w:p>
      <w:pPr>
        <w:pStyle w:val="ListBullet"/>
      </w:pPr>
      <w:r>
        <w:t>Device-local website autosave does not upload to Drive or submit to Classroom.</w:t>
      </w:r>
    </w:p>
    <w:p>
      <w:pPr>
        <w:pStyle w:val="ListBullet"/>
      </w:pPr>
      <w:r>
        <w:t>No practical work is authorised outside teacher-directed classroom conditions.</w:t>
      </w:r>
    </w:p>
    <w:p>
      <w:r>
        <w:br w:type="page"/>
      </w:r>
    </w:p>
    <w:p>
      <w:pPr>
        <w:pStyle w:val="Heading1"/>
      </w:pPr>
      <w:r>
        <w:t>2. NSW Technology 7–8 outcome alignment</w:t>
      </w:r>
    </w:p>
    <w:tbl>
      <w:tblPr>
        <w:tblW w:type="auto" w:w="0"/>
        <w:jc w:val="center"/>
        <w:tblLayout w:type="fixed"/>
        <w:tblLook w:firstColumn="1" w:firstRow="1" w:lastColumn="0" w:lastRow="0" w:noHBand="0" w:noVBand="1" w:val="04A0"/>
      </w:tblPr>
      <w:tblGrid>
        <w:gridCol w:w="1656"/>
        <w:gridCol w:w="5112"/>
        <w:gridCol w:w="7776"/>
      </w:tblGrid>
      <w:tr>
        <w:trPr>
          <w:tblHeader/>
        </w:trPr>
        <w:tc>
          <w:tcPr>
            <w:tcW w:type="dxa" w:w="495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Outcome</w:t>
            </w:r>
          </w:p>
        </w:tc>
        <w:tc>
          <w:tcPr>
            <w:tcW w:type="dxa" w:w="495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Authoritative outcome wording</w:t>
            </w:r>
          </w:p>
        </w:tc>
        <w:tc>
          <w:tcPr>
            <w:tcW w:type="dxa" w:w="495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How this unit provides evidence</w:t>
            </w:r>
          </w:p>
        </w:tc>
      </w:tr>
      <w:tr>
        <w:tc>
          <w:tcPr>
            <w:tcW w:type="dxa" w:w="1656"/>
            <w:vAlign w:val="center"/>
            <w:tcMar>
              <w:top w:w="80" w:type="dxa"/>
              <w:start w:w="120" w:type="dxa"/>
              <w:bottom w:w="80" w:type="dxa"/>
              <w:end w:w="120" w:type="dxa"/>
            </w:tcMar>
          </w:tcPr>
          <w:p>
            <w:pPr>
              <w:spacing w:after="40" w:line="252" w:lineRule="auto"/>
            </w:pPr>
            <w:r/>
            <w:r>
              <w:rPr>
                <w:rFonts w:ascii="Calibri" w:hAnsi="Calibri"/>
                <w:b w:val="0"/>
                <w:color w:val="10283B"/>
                <w:sz w:val="16"/>
              </w:rPr>
              <w:t>TE4-SDP-01</w:t>
            </w:r>
          </w:p>
        </w:tc>
        <w:tc>
          <w:tcPr>
            <w:tcW w:type="dxa" w:w="5112"/>
            <w:vAlign w:val="center"/>
            <w:tcMar>
              <w:top w:w="80" w:type="dxa"/>
              <w:start w:w="120" w:type="dxa"/>
              <w:bottom w:w="80" w:type="dxa"/>
              <w:end w:w="120" w:type="dxa"/>
            </w:tcMar>
          </w:tcPr>
          <w:p>
            <w:pPr>
              <w:spacing w:after="40" w:line="252" w:lineRule="auto"/>
            </w:pPr>
            <w:r/>
            <w:r>
              <w:rPr>
                <w:rFonts w:ascii="Calibri" w:hAnsi="Calibri"/>
                <w:b w:val="0"/>
                <w:color w:val="10283B"/>
                <w:sz w:val="16"/>
              </w:rPr>
              <w:t>explains relationships between sustainability, design and production</w:t>
            </w:r>
          </w:p>
        </w:tc>
        <w:tc>
          <w:tcPr>
            <w:tcW w:type="dxa" w:w="7776"/>
            <w:vAlign w:val="center"/>
            <w:tcMar>
              <w:top w:w="80" w:type="dxa"/>
              <w:start w:w="120" w:type="dxa"/>
              <w:bottom w:w="80" w:type="dxa"/>
              <w:end w:w="120" w:type="dxa"/>
            </w:tcMar>
          </w:tcPr>
          <w:p>
            <w:pPr>
              <w:spacing w:after="40" w:line="252" w:lineRule="auto"/>
            </w:pPr>
            <w:r/>
            <w:r>
              <w:rPr>
                <w:rFonts w:ascii="Calibri" w:hAnsi="Calibri"/>
                <w:b w:val="0"/>
                <w:color w:val="10283B"/>
                <w:sz w:val="16"/>
              </w:rPr>
              <w:t>Students consider purposeful design decisions and responsible use of equipment and digital work.</w:t>
            </w:r>
          </w:p>
        </w:tc>
      </w:tr>
      <w:tr>
        <w:tc>
          <w:tcPr>
            <w:tcW w:type="dxa" w:w="1656"/>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TE4-PDP-01</w:t>
            </w:r>
          </w:p>
        </w:tc>
        <w:tc>
          <w:tcPr>
            <w:tcW w:type="dxa" w:w="5112"/>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describes the practices and processes of designers and producers</w:t>
            </w:r>
          </w:p>
        </w:tc>
        <w:tc>
          <w:tcPr>
            <w:tcW w:type="dxa" w:w="7776"/>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Students follow a design, coding, production, testing and evaluation process.</w:t>
            </w:r>
          </w:p>
        </w:tc>
      </w:tr>
      <w:tr>
        <w:tc>
          <w:tcPr>
            <w:tcW w:type="dxa" w:w="1656"/>
            <w:vAlign w:val="center"/>
            <w:tcMar>
              <w:top w:w="80" w:type="dxa"/>
              <w:start w:w="120" w:type="dxa"/>
              <w:bottom w:w="80" w:type="dxa"/>
              <w:end w:w="120" w:type="dxa"/>
            </w:tcMar>
          </w:tcPr>
          <w:p>
            <w:pPr>
              <w:spacing w:after="40" w:line="252" w:lineRule="auto"/>
            </w:pPr>
            <w:r/>
            <w:r>
              <w:rPr>
                <w:rFonts w:ascii="Calibri" w:hAnsi="Calibri"/>
                <w:b w:val="0"/>
                <w:color w:val="10283B"/>
                <w:sz w:val="16"/>
              </w:rPr>
              <w:t>TE4-MSC-01</w:t>
            </w:r>
          </w:p>
        </w:tc>
        <w:tc>
          <w:tcPr>
            <w:tcW w:type="dxa" w:w="5112"/>
            <w:vAlign w:val="center"/>
            <w:tcMar>
              <w:top w:w="80" w:type="dxa"/>
              <w:start w:w="120" w:type="dxa"/>
              <w:bottom w:w="80" w:type="dxa"/>
              <w:end w:w="120" w:type="dxa"/>
            </w:tcMar>
          </w:tcPr>
          <w:p>
            <w:pPr>
              <w:spacing w:after="40" w:line="252" w:lineRule="auto"/>
            </w:pPr>
            <w:r/>
            <w:r>
              <w:rPr>
                <w:rFonts w:ascii="Calibri" w:hAnsi="Calibri"/>
                <w:b w:val="0"/>
                <w:color w:val="10283B"/>
                <w:sz w:val="16"/>
              </w:rPr>
              <w:t>explains how materials, systems and components contribute to solutions</w:t>
            </w:r>
          </w:p>
        </w:tc>
        <w:tc>
          <w:tcPr>
            <w:tcW w:type="dxa" w:w="7776"/>
            <w:vAlign w:val="center"/>
            <w:tcMar>
              <w:top w:w="80" w:type="dxa"/>
              <w:start w:w="120" w:type="dxa"/>
              <w:bottom w:w="80" w:type="dxa"/>
              <w:end w:w="120" w:type="dxa"/>
            </w:tcMar>
          </w:tcPr>
          <w:p>
            <w:pPr>
              <w:spacing w:after="40" w:line="252" w:lineRule="auto"/>
            </w:pPr>
            <w:r/>
            <w:r>
              <w:rPr>
                <w:rFonts w:ascii="Calibri" w:hAnsi="Calibri"/>
                <w:b w:val="0"/>
                <w:color w:val="10283B"/>
                <w:sz w:val="16"/>
              </w:rPr>
              <w:t>Students explain how sensors, microcontroller, code, LEDs and buzzer interact.</w:t>
            </w:r>
          </w:p>
        </w:tc>
      </w:tr>
      <w:tr>
        <w:tc>
          <w:tcPr>
            <w:tcW w:type="dxa" w:w="1656"/>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TE4-PPM-01</w:t>
            </w:r>
          </w:p>
        </w:tc>
        <w:tc>
          <w:tcPr>
            <w:tcW w:type="dxa" w:w="5112"/>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applies processes in the planning, management and production of projects</w:t>
            </w:r>
          </w:p>
        </w:tc>
        <w:tc>
          <w:tcPr>
            <w:tcW w:type="dxa" w:w="7776"/>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Students plan, produce, test and refine a complete alarm project.</w:t>
            </w:r>
          </w:p>
        </w:tc>
      </w:tr>
      <w:tr>
        <w:tc>
          <w:tcPr>
            <w:tcW w:type="dxa" w:w="1656"/>
            <w:vAlign w:val="center"/>
            <w:tcMar>
              <w:top w:w="80" w:type="dxa"/>
              <w:start w:w="120" w:type="dxa"/>
              <w:bottom w:w="80" w:type="dxa"/>
              <w:end w:w="120" w:type="dxa"/>
            </w:tcMar>
          </w:tcPr>
          <w:p>
            <w:pPr>
              <w:spacing w:after="40" w:line="252" w:lineRule="auto"/>
            </w:pPr>
            <w:r/>
            <w:r>
              <w:rPr>
                <w:rFonts w:ascii="Calibri" w:hAnsi="Calibri"/>
                <w:b w:val="0"/>
                <w:color w:val="10283B"/>
                <w:sz w:val="16"/>
              </w:rPr>
              <w:t>TE4-DES-01</w:t>
            </w:r>
          </w:p>
        </w:tc>
        <w:tc>
          <w:tcPr>
            <w:tcW w:type="dxa" w:w="5112"/>
            <w:vAlign w:val="center"/>
            <w:tcMar>
              <w:top w:w="80" w:type="dxa"/>
              <w:start w:w="120" w:type="dxa"/>
              <w:bottom w:w="80" w:type="dxa"/>
              <w:end w:w="120" w:type="dxa"/>
            </w:tcMar>
          </w:tcPr>
          <w:p>
            <w:pPr>
              <w:spacing w:after="40" w:line="252" w:lineRule="auto"/>
            </w:pPr>
            <w:r/>
            <w:r>
              <w:rPr>
                <w:rFonts w:ascii="Calibri" w:hAnsi="Calibri"/>
                <w:b w:val="0"/>
                <w:color w:val="10283B"/>
                <w:sz w:val="16"/>
              </w:rPr>
              <w:t>communicates and evaluates design ideas and solutions</w:t>
            </w:r>
          </w:p>
        </w:tc>
        <w:tc>
          <w:tcPr>
            <w:tcW w:type="dxa" w:w="7776"/>
            <w:vAlign w:val="center"/>
            <w:tcMar>
              <w:top w:w="80" w:type="dxa"/>
              <w:start w:w="120" w:type="dxa"/>
              <w:bottom w:w="80" w:type="dxa"/>
              <w:end w:w="120" w:type="dxa"/>
            </w:tcMar>
          </w:tcPr>
          <w:p>
            <w:pPr>
              <w:spacing w:after="40" w:line="252" w:lineRule="auto"/>
            </w:pPr>
            <w:r/>
            <w:r>
              <w:rPr>
                <w:rFonts w:ascii="Calibri" w:hAnsi="Calibri"/>
                <w:b w:val="0"/>
                <w:color w:val="10283B"/>
                <w:sz w:val="16"/>
              </w:rPr>
              <w:t>Students use IPO, pseudocode, flowcharts, criteria, test evidence and evaluation.</w:t>
            </w:r>
          </w:p>
        </w:tc>
      </w:tr>
      <w:tr>
        <w:tc>
          <w:tcPr>
            <w:tcW w:type="dxa" w:w="1656"/>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TE4-SAF-01</w:t>
            </w:r>
          </w:p>
        </w:tc>
        <w:tc>
          <w:tcPr>
            <w:tcW w:type="dxa" w:w="5112"/>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selects and safely uses tools, materials, technologies and processes</w:t>
            </w:r>
          </w:p>
        </w:tc>
        <w:tc>
          <w:tcPr>
            <w:tcW w:type="dxa" w:w="7776"/>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Students follow teacher-directed board handling, connection and classroom testing routines.</w:t>
            </w:r>
          </w:p>
        </w:tc>
      </w:tr>
      <w:tr>
        <w:tc>
          <w:tcPr>
            <w:tcW w:type="dxa" w:w="1656"/>
            <w:vAlign w:val="center"/>
            <w:tcMar>
              <w:top w:w="80" w:type="dxa"/>
              <w:start w:w="120" w:type="dxa"/>
              <w:bottom w:w="80" w:type="dxa"/>
              <w:end w:w="120" w:type="dxa"/>
            </w:tcMar>
          </w:tcPr>
          <w:p>
            <w:pPr>
              <w:spacing w:after="40" w:line="252" w:lineRule="auto"/>
            </w:pPr>
            <w:r/>
            <w:r>
              <w:rPr>
                <w:rFonts w:ascii="Calibri" w:hAnsi="Calibri"/>
                <w:b w:val="0"/>
                <w:color w:val="10283B"/>
                <w:sz w:val="16"/>
              </w:rPr>
              <w:t>TE4-DIG-01</w:t>
            </w:r>
          </w:p>
        </w:tc>
        <w:tc>
          <w:tcPr>
            <w:tcW w:type="dxa" w:w="5112"/>
            <w:vAlign w:val="center"/>
            <w:tcMar>
              <w:top w:w="80" w:type="dxa"/>
              <w:start w:w="120" w:type="dxa"/>
              <w:bottom w:w="80" w:type="dxa"/>
              <w:end w:w="120" w:type="dxa"/>
            </w:tcMar>
          </w:tcPr>
          <w:p>
            <w:pPr>
              <w:spacing w:after="40" w:line="252" w:lineRule="auto"/>
            </w:pPr>
            <w:r/>
            <w:r>
              <w:rPr>
                <w:rFonts w:ascii="Calibri" w:hAnsi="Calibri"/>
                <w:b w:val="0"/>
                <w:color w:val="10283B"/>
                <w:sz w:val="16"/>
              </w:rPr>
              <w:t>demonstrates technological literacy to safely interact in digital environments</w:t>
            </w:r>
          </w:p>
        </w:tc>
        <w:tc>
          <w:tcPr>
            <w:tcW w:type="dxa" w:w="7776"/>
            <w:vAlign w:val="center"/>
            <w:tcMar>
              <w:top w:w="80" w:type="dxa"/>
              <w:start w:w="120" w:type="dxa"/>
              <w:bottom w:w="80" w:type="dxa"/>
              <w:end w:w="120" w:type="dxa"/>
            </w:tcMar>
          </w:tcPr>
          <w:p>
            <w:pPr>
              <w:spacing w:after="40" w:line="252" w:lineRule="auto"/>
            </w:pPr>
            <w:r/>
            <w:r>
              <w:rPr>
                <w:rFonts w:ascii="Calibri" w:hAnsi="Calibri"/>
                <w:b w:val="0"/>
                <w:color w:val="10283B"/>
                <w:sz w:val="16"/>
              </w:rPr>
              <w:t>Students use named versions, backups, source acknowledgement and confirmed submission processes.</w:t>
            </w:r>
          </w:p>
        </w:tc>
      </w:tr>
      <w:tr>
        <w:tc>
          <w:tcPr>
            <w:tcW w:type="dxa" w:w="1656"/>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TE4-DIG-02</w:t>
            </w:r>
          </w:p>
        </w:tc>
        <w:tc>
          <w:tcPr>
            <w:tcW w:type="dxa" w:w="5112"/>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uses data and digital systems to code, design and produce projects</w:t>
            </w:r>
          </w:p>
        </w:tc>
        <w:tc>
          <w:tcPr>
            <w:tcW w:type="dxa" w:w="7776"/>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Central unit evidence: analogue and digital data, branching, mapping, arrays, code and the final alarm.</w:t>
            </w:r>
          </w:p>
        </w:tc>
      </w:tr>
    </w:tbl>
    <w:p/>
    <w:p>
      <w:r>
        <w:t>Source: NESA Technology 7–8 Syllabus (2023) outcomes page. School programming decisions determine the final emphasis and reporting judgement.</w:t>
      </w:r>
    </w:p>
    <w:p>
      <w:r>
        <w:br w:type="page"/>
      </w:r>
    </w:p>
    <w:p>
      <w:pPr>
        <w:pStyle w:val="Heading1"/>
      </w:pPr>
      <w:r>
        <w:t>3. Ten-week scope and sequence</w:t>
      </w:r>
    </w:p>
    <w:tbl>
      <w:tblPr>
        <w:tblW w:type="auto" w:w="0"/>
        <w:jc w:val="center"/>
        <w:tblLayout w:type="fixed"/>
        <w:tblLook w:firstColumn="1" w:firstRow="1" w:lastColumn="0" w:lastRow="0" w:noHBand="0" w:noVBand="1" w:val="04A0"/>
      </w:tblPr>
      <w:tblGrid>
        <w:gridCol w:w="792"/>
        <w:gridCol w:w="2736"/>
        <w:gridCol w:w="4968"/>
        <w:gridCol w:w="5112"/>
        <w:gridCol w:w="1944"/>
      </w:tblGrid>
      <w:tr>
        <w:trPr>
          <w:tblHeader/>
        </w:trPr>
        <w:tc>
          <w:tcPr>
            <w:tcW w:type="dxa" w:w="2975"/>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Week</w:t>
            </w:r>
          </w:p>
        </w:tc>
        <w:tc>
          <w:tcPr>
            <w:tcW w:type="dxa" w:w="2975"/>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Module</w:t>
            </w:r>
          </w:p>
        </w:tc>
        <w:tc>
          <w:tcPr>
            <w:tcW w:type="dxa" w:w="2975"/>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Learning focus</w:t>
            </w:r>
          </w:p>
        </w:tc>
        <w:tc>
          <w:tcPr>
            <w:tcW w:type="dxa" w:w="2975"/>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Evidence checkpoint</w:t>
            </w:r>
          </w:p>
        </w:tc>
        <w:tc>
          <w:tcPr>
            <w:tcW w:type="dxa" w:w="2975"/>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Outcome focus</w:t>
            </w:r>
          </w:p>
        </w:tc>
      </w:tr>
      <w:tr>
        <w:tc>
          <w:tcPr>
            <w:tcW w:type="dxa" w:w="792"/>
            <w:vAlign w:val="center"/>
            <w:tcMar>
              <w:top w:w="80" w:type="dxa"/>
              <w:start w:w="120" w:type="dxa"/>
              <w:bottom w:w="80" w:type="dxa"/>
              <w:end w:w="120" w:type="dxa"/>
            </w:tcMar>
          </w:tcPr>
          <w:p>
            <w:pPr>
              <w:spacing w:after="40" w:line="252" w:lineRule="auto"/>
            </w:pPr>
            <w:r/>
            <w:r>
              <w:rPr>
                <w:rFonts w:ascii="Calibri" w:hAnsi="Calibri"/>
                <w:b w:val="0"/>
                <w:color w:val="10283B"/>
                <w:sz w:val="16"/>
              </w:rPr>
              <w:t>1</w:t>
            </w:r>
          </w:p>
        </w:tc>
        <w:tc>
          <w:tcPr>
            <w:tcW w:type="dxa" w:w="2736"/>
            <w:vAlign w:val="center"/>
            <w:tcMar>
              <w:top w:w="80" w:type="dxa"/>
              <w:start w:w="120" w:type="dxa"/>
              <w:bottom w:w="80" w:type="dxa"/>
              <w:end w:w="120" w:type="dxa"/>
            </w:tcMar>
          </w:tcPr>
          <w:p>
            <w:pPr>
              <w:spacing w:after="40" w:line="252" w:lineRule="auto"/>
            </w:pPr>
            <w:r/>
            <w:r>
              <w:rPr>
                <w:rFonts w:ascii="Calibri" w:hAnsi="Calibri"/>
                <w:b w:val="0"/>
                <w:color w:val="10283B"/>
                <w:sz w:val="16"/>
              </w:rPr>
              <w:t>Systems that sense and respond</w:t>
            </w:r>
          </w:p>
        </w:tc>
        <w:tc>
          <w:tcPr>
            <w:tcW w:type="dxa" w:w="4968"/>
            <w:vAlign w:val="center"/>
            <w:tcMar>
              <w:top w:w="80" w:type="dxa"/>
              <w:start w:w="120" w:type="dxa"/>
              <w:bottom w:w="80" w:type="dxa"/>
              <w:end w:w="120" w:type="dxa"/>
            </w:tcMar>
          </w:tcPr>
          <w:p>
            <w:pPr>
              <w:spacing w:after="40" w:line="252" w:lineRule="auto"/>
            </w:pPr>
            <w:r/>
            <w:r>
              <w:rPr>
                <w:rFonts w:ascii="Calibri" w:hAnsi="Calibri"/>
                <w:b w:val="0"/>
                <w:color w:val="10283B"/>
                <w:sz w:val="16"/>
              </w:rPr>
              <w:t>IPO; microcontroller, shield and sketch roles; fixed pin map.</w:t>
            </w:r>
          </w:p>
        </w:tc>
        <w:tc>
          <w:tcPr>
            <w:tcW w:type="dxa" w:w="5112"/>
            <w:vAlign w:val="center"/>
            <w:tcMar>
              <w:top w:w="80" w:type="dxa"/>
              <w:start w:w="120" w:type="dxa"/>
              <w:bottom w:w="80" w:type="dxa"/>
              <w:end w:w="120" w:type="dxa"/>
            </w:tcMar>
          </w:tcPr>
          <w:p>
            <w:pPr>
              <w:spacing w:after="40" w:line="252" w:lineRule="auto"/>
            </w:pPr>
            <w:r/>
            <w:r>
              <w:rPr>
                <w:rFonts w:ascii="Calibri" w:hAnsi="Calibri"/>
                <w:b w:val="0"/>
                <w:color w:val="10283B"/>
                <w:sz w:val="16"/>
              </w:rPr>
              <w:t>Hardware map; control-system detective; 30 checks; 3 responses.</w:t>
            </w:r>
          </w:p>
        </w:tc>
        <w:tc>
          <w:tcPr>
            <w:tcW w:type="dxa" w:w="1944"/>
            <w:vAlign w:val="center"/>
            <w:tcMar>
              <w:top w:w="80" w:type="dxa"/>
              <w:start w:w="120" w:type="dxa"/>
              <w:bottom w:w="80" w:type="dxa"/>
              <w:end w:w="120" w:type="dxa"/>
            </w:tcMar>
          </w:tcPr>
          <w:p>
            <w:pPr>
              <w:spacing w:after="40" w:line="252" w:lineRule="auto"/>
            </w:pPr>
            <w:r/>
            <w:r>
              <w:rPr>
                <w:rFonts w:ascii="Calibri" w:hAnsi="Calibri"/>
                <w:b w:val="0"/>
                <w:color w:val="10283B"/>
                <w:sz w:val="16"/>
              </w:rPr>
              <w:t>TE4-MSC-01, TE4-DIG-02</w:t>
            </w:r>
          </w:p>
        </w:tc>
      </w:tr>
      <w:tr>
        <w:tc>
          <w:tcPr>
            <w:tcW w:type="dxa" w:w="792"/>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2</w:t>
            </w:r>
          </w:p>
        </w:tc>
        <w:tc>
          <w:tcPr>
            <w:tcW w:type="dxa" w:w="2736"/>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Make light obey the code</w:t>
            </w:r>
          </w:p>
        </w:tc>
        <w:tc>
          <w:tcPr>
            <w:tcW w:type="dxa" w:w="4968"/>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setup/loop; digitalWrite; HIGH/LOW; timing; Getting Flashy and Even Flashier.</w:t>
            </w:r>
          </w:p>
        </w:tc>
        <w:tc>
          <w:tcPr>
            <w:tcW w:type="dxa" w:w="5112"/>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Predictions, timing comparison and first debugging record.</w:t>
            </w:r>
          </w:p>
        </w:tc>
        <w:tc>
          <w:tcPr>
            <w:tcW w:type="dxa" w:w="1944"/>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TE4-DIG-02, TE4-SAF-01</w:t>
            </w:r>
          </w:p>
        </w:tc>
      </w:tr>
      <w:tr>
        <w:tc>
          <w:tcPr>
            <w:tcW w:type="dxa" w:w="792"/>
            <w:vAlign w:val="center"/>
            <w:tcMar>
              <w:top w:w="80" w:type="dxa"/>
              <w:start w:w="120" w:type="dxa"/>
              <w:bottom w:w="80" w:type="dxa"/>
              <w:end w:w="120" w:type="dxa"/>
            </w:tcMar>
          </w:tcPr>
          <w:p>
            <w:pPr>
              <w:spacing w:after="40" w:line="252" w:lineRule="auto"/>
            </w:pPr>
            <w:r/>
            <w:r>
              <w:rPr>
                <w:rFonts w:ascii="Calibri" w:hAnsi="Calibri"/>
                <w:b w:val="0"/>
                <w:color w:val="10283B"/>
                <w:sz w:val="16"/>
              </w:rPr>
              <w:t>3</w:t>
            </w:r>
          </w:p>
        </w:tc>
        <w:tc>
          <w:tcPr>
            <w:tcW w:type="dxa" w:w="2736"/>
            <w:vAlign w:val="center"/>
            <w:tcMar>
              <w:top w:w="80" w:type="dxa"/>
              <w:start w:w="120" w:type="dxa"/>
              <w:bottom w:w="80" w:type="dxa"/>
              <w:end w:w="120" w:type="dxa"/>
            </w:tcMar>
          </w:tcPr>
          <w:p>
            <w:pPr>
              <w:spacing w:after="40" w:line="252" w:lineRule="auto"/>
            </w:pPr>
            <w:r/>
            <w:r>
              <w:rPr>
                <w:rFonts w:ascii="Calibri" w:hAnsi="Calibri"/>
                <w:b w:val="0"/>
                <w:color w:val="10283B"/>
                <w:sz w:val="16"/>
              </w:rPr>
              <w:t>Plan the logic before coding</w:t>
            </w:r>
          </w:p>
        </w:tc>
        <w:tc>
          <w:tcPr>
            <w:tcW w:type="dxa" w:w="4968"/>
            <w:vAlign w:val="center"/>
            <w:tcMar>
              <w:top w:w="80" w:type="dxa"/>
              <w:start w:w="120" w:type="dxa"/>
              <w:bottom w:w="80" w:type="dxa"/>
              <w:end w:w="120" w:type="dxa"/>
            </w:tcMar>
          </w:tcPr>
          <w:p>
            <w:pPr>
              <w:spacing w:after="40" w:line="252" w:lineRule="auto"/>
            </w:pPr>
            <w:r/>
            <w:r>
              <w:rPr>
                <w:rFonts w:ascii="Calibri" w:hAnsi="Calibri"/>
                <w:b w:val="0"/>
                <w:color w:val="10283B"/>
                <w:sz w:val="16"/>
              </w:rPr>
              <w:t>Algorithms, pseudocode, flowcharts and conditional branching.</w:t>
            </w:r>
          </w:p>
        </w:tc>
        <w:tc>
          <w:tcPr>
            <w:tcW w:type="dxa" w:w="5112"/>
            <w:vAlign w:val="center"/>
            <w:tcMar>
              <w:top w:w="80" w:type="dxa"/>
              <w:start w:w="120" w:type="dxa"/>
              <w:bottom w:w="80" w:type="dxa"/>
              <w:end w:w="120" w:type="dxa"/>
            </w:tcMar>
          </w:tcPr>
          <w:p>
            <w:pPr>
              <w:spacing w:after="40" w:line="252" w:lineRule="auto"/>
            </w:pPr>
            <w:r/>
            <w:r>
              <w:rPr>
                <w:rFonts w:ascii="Calibri" w:hAnsi="Calibri"/>
                <w:b w:val="0"/>
                <w:color w:val="10283B"/>
                <w:sz w:val="16"/>
              </w:rPr>
              <w:t>Algorithm, dry-run and two-path flowchart.</w:t>
            </w:r>
          </w:p>
        </w:tc>
        <w:tc>
          <w:tcPr>
            <w:tcW w:type="dxa" w:w="1944"/>
            <w:vAlign w:val="center"/>
            <w:tcMar>
              <w:top w:w="80" w:type="dxa"/>
              <w:start w:w="120" w:type="dxa"/>
              <w:bottom w:w="80" w:type="dxa"/>
              <w:end w:w="120" w:type="dxa"/>
            </w:tcMar>
          </w:tcPr>
          <w:p>
            <w:pPr>
              <w:spacing w:after="40" w:line="252" w:lineRule="auto"/>
            </w:pPr>
            <w:r/>
            <w:r>
              <w:rPr>
                <w:rFonts w:ascii="Calibri" w:hAnsi="Calibri"/>
                <w:b w:val="0"/>
                <w:color w:val="10283B"/>
                <w:sz w:val="16"/>
              </w:rPr>
              <w:t>TE4-DIG-02, TE4-DES-01</w:t>
            </w:r>
          </w:p>
        </w:tc>
      </w:tr>
      <w:tr>
        <w:tc>
          <w:tcPr>
            <w:tcW w:type="dxa" w:w="792"/>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4</w:t>
            </w:r>
          </w:p>
        </w:tc>
        <w:tc>
          <w:tcPr>
            <w:tcW w:type="dxa" w:w="2736"/>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Read changing data</w:t>
            </w:r>
          </w:p>
        </w:tc>
        <w:tc>
          <w:tcPr>
            <w:tcW w:type="dxa" w:w="4968"/>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POT Basics, A Light Dimmer, POT LED Bouncer; analogue data, map and calibration.</w:t>
            </w:r>
          </w:p>
        </w:tc>
        <w:tc>
          <w:tcPr>
            <w:tcW w:type="dxa" w:w="5112"/>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Measured A5 range, mapping table and calibration justification.</w:t>
            </w:r>
          </w:p>
        </w:tc>
        <w:tc>
          <w:tcPr>
            <w:tcW w:type="dxa" w:w="1944"/>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TE4-DIG-02, TE4-MSC-01</w:t>
            </w:r>
          </w:p>
        </w:tc>
      </w:tr>
      <w:tr>
        <w:tc>
          <w:tcPr>
            <w:tcW w:type="dxa" w:w="792"/>
            <w:vAlign w:val="center"/>
            <w:tcMar>
              <w:top w:w="80" w:type="dxa"/>
              <w:start w:w="120" w:type="dxa"/>
              <w:bottom w:w="80" w:type="dxa"/>
              <w:end w:w="120" w:type="dxa"/>
            </w:tcMar>
          </w:tcPr>
          <w:p>
            <w:pPr>
              <w:spacing w:after="40" w:line="252" w:lineRule="auto"/>
            </w:pPr>
            <w:r/>
            <w:r>
              <w:rPr>
                <w:rFonts w:ascii="Calibri" w:hAnsi="Calibri"/>
                <w:b w:val="0"/>
                <w:color w:val="10283B"/>
                <w:sz w:val="16"/>
              </w:rPr>
              <w:t>5</w:t>
            </w:r>
          </w:p>
        </w:tc>
        <w:tc>
          <w:tcPr>
            <w:tcW w:type="dxa" w:w="2736"/>
            <w:vAlign w:val="center"/>
            <w:tcMar>
              <w:top w:w="80" w:type="dxa"/>
              <w:start w:w="120" w:type="dxa"/>
              <w:bottom w:w="80" w:type="dxa"/>
              <w:end w:w="120" w:type="dxa"/>
            </w:tcMar>
          </w:tcPr>
          <w:p>
            <w:pPr>
              <w:spacing w:after="40" w:line="252" w:lineRule="auto"/>
            </w:pPr>
            <w:r/>
            <w:r>
              <w:rPr>
                <w:rFonts w:ascii="Calibri" w:hAnsi="Calibri"/>
                <w:b w:val="0"/>
                <w:color w:val="10283B"/>
                <w:sz w:val="16"/>
              </w:rPr>
              <w:t>Sense the light</w:t>
            </w:r>
          </w:p>
        </w:tc>
        <w:tc>
          <w:tcPr>
            <w:tcW w:type="dxa" w:w="4968"/>
            <w:vAlign w:val="center"/>
            <w:tcMar>
              <w:top w:w="80" w:type="dxa"/>
              <w:start w:w="120" w:type="dxa"/>
              <w:bottom w:w="80" w:type="dxa"/>
              <w:end w:w="120" w:type="dxa"/>
            </w:tcMar>
          </w:tcPr>
          <w:p>
            <w:pPr>
              <w:spacing w:after="40" w:line="252" w:lineRule="auto"/>
            </w:pPr>
            <w:r/>
            <w:r>
              <w:rPr>
                <w:rFonts w:ascii="Calibri" w:hAnsi="Calibri"/>
                <w:b w:val="0"/>
                <w:color w:val="10283B"/>
                <w:sz w:val="16"/>
              </w:rPr>
              <w:t>LDR Basics and LDR Night Light; thresholds and sensor-response loops.</w:t>
            </w:r>
          </w:p>
        </w:tc>
        <w:tc>
          <w:tcPr>
            <w:tcW w:type="dxa" w:w="5112"/>
            <w:vAlign w:val="center"/>
            <w:tcMar>
              <w:top w:w="80" w:type="dxa"/>
              <w:start w:w="120" w:type="dxa"/>
              <w:bottom w:w="80" w:type="dxa"/>
              <w:end w:w="120" w:type="dxa"/>
            </w:tcMar>
          </w:tcPr>
          <w:p>
            <w:pPr>
              <w:spacing w:after="40" w:line="252" w:lineRule="auto"/>
            </w:pPr>
            <w:r/>
            <w:r>
              <w:rPr>
                <w:rFonts w:ascii="Calibri" w:hAnsi="Calibri"/>
                <w:b w:val="0"/>
                <w:color w:val="10283B"/>
                <w:sz w:val="16"/>
              </w:rPr>
              <w:t>A4 data set, justified threshold, trigger and recovery evidence.</w:t>
            </w:r>
          </w:p>
        </w:tc>
        <w:tc>
          <w:tcPr>
            <w:tcW w:type="dxa" w:w="1944"/>
            <w:vAlign w:val="center"/>
            <w:tcMar>
              <w:top w:w="80" w:type="dxa"/>
              <w:start w:w="120" w:type="dxa"/>
              <w:bottom w:w="80" w:type="dxa"/>
              <w:end w:w="120" w:type="dxa"/>
            </w:tcMar>
          </w:tcPr>
          <w:p>
            <w:pPr>
              <w:spacing w:after="40" w:line="252" w:lineRule="auto"/>
            </w:pPr>
            <w:r/>
            <w:r>
              <w:rPr>
                <w:rFonts w:ascii="Calibri" w:hAnsi="Calibri"/>
                <w:b w:val="0"/>
                <w:color w:val="10283B"/>
                <w:sz w:val="16"/>
              </w:rPr>
              <w:t>TE4-DIG-02, TE4-PDP-01</w:t>
            </w:r>
          </w:p>
        </w:tc>
      </w:tr>
      <w:tr>
        <w:tc>
          <w:tcPr>
            <w:tcW w:type="dxa" w:w="792"/>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6</w:t>
            </w:r>
          </w:p>
        </w:tc>
        <w:tc>
          <w:tcPr>
            <w:tcW w:type="dxa" w:w="2736"/>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Make the code choose</w:t>
            </w:r>
          </w:p>
        </w:tc>
        <w:tc>
          <w:tcPr>
            <w:tcW w:type="dxa" w:w="4968"/>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Push Button Basics and Get A Toggle On; pin 7, if/else and Boolean state.</w:t>
            </w:r>
          </w:p>
        </w:tc>
        <w:tc>
          <w:tcPr>
            <w:tcW w:type="dxa" w:w="5112"/>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Button-state table, branch trace and toggle state trace.</w:t>
            </w:r>
          </w:p>
        </w:tc>
        <w:tc>
          <w:tcPr>
            <w:tcW w:type="dxa" w:w="1944"/>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TE4-DIG-02, TE4-MSC-01</w:t>
            </w:r>
          </w:p>
        </w:tc>
      </w:tr>
      <w:tr>
        <w:tc>
          <w:tcPr>
            <w:tcW w:type="dxa" w:w="792"/>
            <w:vAlign w:val="center"/>
            <w:tcMar>
              <w:top w:w="80" w:type="dxa"/>
              <w:start w:w="120" w:type="dxa"/>
              <w:bottom w:w="80" w:type="dxa"/>
              <w:end w:w="120" w:type="dxa"/>
            </w:tcMar>
          </w:tcPr>
          <w:p>
            <w:pPr>
              <w:spacing w:after="40" w:line="252" w:lineRule="auto"/>
            </w:pPr>
            <w:r/>
            <w:r>
              <w:rPr>
                <w:rFonts w:ascii="Calibri" w:hAnsi="Calibri"/>
                <w:b w:val="0"/>
                <w:color w:val="10283B"/>
                <w:sz w:val="16"/>
              </w:rPr>
              <w:t>7</w:t>
            </w:r>
          </w:p>
        </w:tc>
        <w:tc>
          <w:tcPr>
            <w:tcW w:type="dxa" w:w="2736"/>
            <w:vAlign w:val="center"/>
            <w:tcMar>
              <w:top w:w="80" w:type="dxa"/>
              <w:start w:w="120" w:type="dxa"/>
              <w:bottom w:w="80" w:type="dxa"/>
              <w:end w:w="120" w:type="dxa"/>
            </w:tcMar>
          </w:tcPr>
          <w:p>
            <w:pPr>
              <w:spacing w:after="40" w:line="252" w:lineRule="auto"/>
            </w:pPr>
            <w:r/>
            <w:r>
              <w:rPr>
                <w:rFonts w:ascii="Calibri" w:hAnsi="Calibri"/>
                <w:b w:val="0"/>
                <w:color w:val="10283B"/>
                <w:sz w:val="16"/>
              </w:rPr>
              <w:t>Turn numbers into sound</w:t>
            </w:r>
          </w:p>
        </w:tc>
        <w:tc>
          <w:tcPr>
            <w:tcW w:type="dxa" w:w="4968"/>
            <w:vAlign w:val="center"/>
            <w:tcMar>
              <w:top w:w="80" w:type="dxa"/>
              <w:start w:w="120" w:type="dxa"/>
              <w:bottom w:w="80" w:type="dxa"/>
              <w:end w:w="120" w:type="dxa"/>
            </w:tcMar>
          </w:tcPr>
          <w:p>
            <w:pPr>
              <w:spacing w:after="40" w:line="252" w:lineRule="auto"/>
            </w:pPr>
            <w:r/>
            <w:r>
              <w:rPr>
                <w:rFonts w:ascii="Calibri" w:hAnsi="Calibri"/>
                <w:b w:val="0"/>
                <w:color w:val="10283B"/>
                <w:sz w:val="16"/>
              </w:rPr>
              <w:t>Buzzer Basics, Pitch Changer and Play a Song; frequency, mapping and sequences.</w:t>
            </w:r>
          </w:p>
        </w:tc>
        <w:tc>
          <w:tcPr>
            <w:tcW w:type="dxa" w:w="5112"/>
            <w:vAlign w:val="center"/>
            <w:tcMar>
              <w:top w:w="80" w:type="dxa"/>
              <w:start w:w="120" w:type="dxa"/>
              <w:bottom w:w="80" w:type="dxa"/>
              <w:end w:w="120" w:type="dxa"/>
            </w:tcMar>
          </w:tcPr>
          <w:p>
            <w:pPr>
              <w:spacing w:after="40" w:line="252" w:lineRule="auto"/>
            </w:pPr>
            <w:r/>
            <w:r>
              <w:rPr>
                <w:rFonts w:ascii="Calibri" w:hAnsi="Calibri"/>
                <w:b w:val="0"/>
                <w:color w:val="10283B"/>
                <w:sz w:val="16"/>
              </w:rPr>
              <w:t>Tested frequencies, A5-to-pitch trace and melody code annotation.</w:t>
            </w:r>
          </w:p>
        </w:tc>
        <w:tc>
          <w:tcPr>
            <w:tcW w:type="dxa" w:w="1944"/>
            <w:vAlign w:val="center"/>
            <w:tcMar>
              <w:top w:w="80" w:type="dxa"/>
              <w:start w:w="120" w:type="dxa"/>
              <w:bottom w:w="80" w:type="dxa"/>
              <w:end w:w="120" w:type="dxa"/>
            </w:tcMar>
          </w:tcPr>
          <w:p>
            <w:pPr>
              <w:spacing w:after="40" w:line="252" w:lineRule="auto"/>
            </w:pPr>
            <w:r/>
            <w:r>
              <w:rPr>
                <w:rFonts w:ascii="Calibri" w:hAnsi="Calibri"/>
                <w:b w:val="0"/>
                <w:color w:val="10283B"/>
                <w:sz w:val="16"/>
              </w:rPr>
              <w:t>TE4-DIG-02, TE4-SAF-01</w:t>
            </w:r>
          </w:p>
        </w:tc>
      </w:tr>
      <w:tr>
        <w:tc>
          <w:tcPr>
            <w:tcW w:type="dxa" w:w="792"/>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8</w:t>
            </w:r>
          </w:p>
        </w:tc>
        <w:tc>
          <w:tcPr>
            <w:tcW w:type="dxa" w:w="2736"/>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Combine parts into systems</w:t>
            </w:r>
          </w:p>
        </w:tc>
        <w:tc>
          <w:tcPr>
            <w:tcW w:type="dxa" w:w="4968"/>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Electronic Dice, Buzzing Light Meter and LED Magic Sign; arrays, loops, functions.</w:t>
            </w:r>
          </w:p>
        </w:tc>
        <w:tc>
          <w:tcPr>
            <w:tcW w:type="dxa" w:w="5112"/>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Challenge IPO, index trace and subsystem test order.</w:t>
            </w:r>
          </w:p>
        </w:tc>
        <w:tc>
          <w:tcPr>
            <w:tcW w:type="dxa" w:w="1944"/>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TE4-DIG-02, TE4-PPM-01</w:t>
            </w:r>
          </w:p>
        </w:tc>
      </w:tr>
      <w:tr>
        <w:tc>
          <w:tcPr>
            <w:tcW w:type="dxa" w:w="792"/>
            <w:vAlign w:val="center"/>
            <w:tcMar>
              <w:top w:w="80" w:type="dxa"/>
              <w:start w:w="120" w:type="dxa"/>
              <w:bottom w:w="80" w:type="dxa"/>
              <w:end w:w="120" w:type="dxa"/>
            </w:tcMar>
          </w:tcPr>
          <w:p>
            <w:pPr>
              <w:spacing w:after="40" w:line="252" w:lineRule="auto"/>
            </w:pPr>
            <w:r/>
            <w:r>
              <w:rPr>
                <w:rFonts w:ascii="Calibri" w:hAnsi="Calibri"/>
                <w:b w:val="0"/>
                <w:color w:val="10283B"/>
                <w:sz w:val="16"/>
              </w:rPr>
              <w:t>9</w:t>
            </w:r>
          </w:p>
        </w:tc>
        <w:tc>
          <w:tcPr>
            <w:tcW w:type="dxa" w:w="2736"/>
            <w:vAlign w:val="center"/>
            <w:tcMar>
              <w:top w:w="80" w:type="dxa"/>
              <w:start w:w="120" w:type="dxa"/>
              <w:bottom w:w="80" w:type="dxa"/>
              <w:end w:w="120" w:type="dxa"/>
            </w:tcMar>
          </w:tcPr>
          <w:p>
            <w:pPr>
              <w:spacing w:after="40" w:line="252" w:lineRule="auto"/>
            </w:pPr>
            <w:r/>
            <w:r>
              <w:rPr>
                <w:rFonts w:ascii="Calibri" w:hAnsi="Calibri"/>
                <w:b w:val="0"/>
                <w:color w:val="10283B"/>
                <w:sz w:val="16"/>
              </w:rPr>
              <w:t>Design the final alarm</w:t>
            </w:r>
          </w:p>
        </w:tc>
        <w:tc>
          <w:tcPr>
            <w:tcW w:type="dxa" w:w="4968"/>
            <w:vAlign w:val="center"/>
            <w:tcMar>
              <w:top w:w="80" w:type="dxa"/>
              <w:start w:w="120" w:type="dxa"/>
              <w:bottom w:w="80" w:type="dxa"/>
              <w:end w:w="120" w:type="dxa"/>
            </w:tcMar>
          </w:tcPr>
          <w:p>
            <w:pPr>
              <w:spacing w:after="40" w:line="252" w:lineRule="auto"/>
            </w:pPr>
            <w:r/>
            <w:r>
              <w:rPr>
                <w:rFonts w:ascii="Calibri" w:hAnsi="Calibri"/>
                <w:b w:val="0"/>
                <w:color w:val="10283B"/>
                <w:sz w:val="16"/>
              </w:rPr>
              <w:t>Final Alarm Code; brief, criteria, aligned planning and production.</w:t>
            </w:r>
          </w:p>
        </w:tc>
        <w:tc>
          <w:tcPr>
            <w:tcW w:type="dxa" w:w="5112"/>
            <w:vAlign w:val="center"/>
            <w:tcMar>
              <w:top w:w="80" w:type="dxa"/>
              <w:start w:w="120" w:type="dxa"/>
              <w:bottom w:w="80" w:type="dxa"/>
              <w:end w:w="120" w:type="dxa"/>
            </w:tcMar>
          </w:tcPr>
          <w:p>
            <w:pPr>
              <w:spacing w:after="40" w:line="252" w:lineRule="auto"/>
            </w:pPr>
            <w:r/>
            <w:r>
              <w:rPr>
                <w:rFonts w:ascii="Calibri" w:hAnsi="Calibri"/>
                <w:b w:val="0"/>
                <w:color w:val="10283B"/>
                <w:sz w:val="16"/>
              </w:rPr>
              <w:t>Brief, criteria, pin map, IPO, pseudocode, code record and tests.</w:t>
            </w:r>
          </w:p>
        </w:tc>
        <w:tc>
          <w:tcPr>
            <w:tcW w:type="dxa" w:w="1944"/>
            <w:vAlign w:val="center"/>
            <w:tcMar>
              <w:top w:w="80" w:type="dxa"/>
              <w:start w:w="120" w:type="dxa"/>
              <w:bottom w:w="80" w:type="dxa"/>
              <w:end w:w="120" w:type="dxa"/>
            </w:tcMar>
          </w:tcPr>
          <w:p>
            <w:pPr>
              <w:spacing w:after="40" w:line="252" w:lineRule="auto"/>
            </w:pPr>
            <w:r/>
            <w:r>
              <w:rPr>
                <w:rFonts w:ascii="Calibri" w:hAnsi="Calibri"/>
                <w:b w:val="0"/>
                <w:color w:val="10283B"/>
                <w:sz w:val="16"/>
              </w:rPr>
              <w:t>TE4-DES-01, TE4-PPM-01, TE4-DIG-02</w:t>
            </w:r>
          </w:p>
        </w:tc>
      </w:tr>
      <w:tr>
        <w:tc>
          <w:tcPr>
            <w:tcW w:type="dxa" w:w="792"/>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10</w:t>
            </w:r>
          </w:p>
        </w:tc>
        <w:tc>
          <w:tcPr>
            <w:tcW w:type="dxa" w:w="2736"/>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Debug, improve and explain</w:t>
            </w:r>
          </w:p>
        </w:tc>
        <w:tc>
          <w:tcPr>
            <w:tcW w:type="dxa" w:w="4968"/>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Systematic debugging, evidence-based evaluation, backup and hand-in readiness.</w:t>
            </w:r>
          </w:p>
        </w:tc>
        <w:tc>
          <w:tcPr>
            <w:tcW w:type="dxa" w:w="5112"/>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Debug log, criterion evaluation, improvements and final backup.</w:t>
            </w:r>
          </w:p>
        </w:tc>
        <w:tc>
          <w:tcPr>
            <w:tcW w:type="dxa" w:w="1944"/>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TE4-DES-01, TE4-DIG-01, TE4-DIG-02</w:t>
            </w:r>
          </w:p>
        </w:tc>
      </w:tr>
    </w:tbl>
    <w:p/>
    <w:p>
      <w:r>
        <w:br w:type="page"/>
      </w:r>
    </w:p>
    <w:p>
      <w:pPr>
        <w:pStyle w:val="Heading1"/>
      </w:pPr>
      <w:r>
        <w:t>4. Detailed teaching and learning sequence</w:t>
      </w:r>
    </w:p>
    <w:p>
      <w:pPr>
        <w:pStyle w:val="Heading2"/>
      </w:pPr>
      <w:r>
        <w:t>Week 1: Systems that sense and respond</w:t>
      </w:r>
    </w:p>
    <w:tbl>
      <w:tblPr>
        <w:tblW w:type="auto" w:w="0"/>
        <w:jc w:val="center"/>
        <w:tblLayout w:type="fixed"/>
        <w:tblLook w:firstColumn="1" w:firstRow="1" w:lastColumn="0" w:lastRow="0" w:noHBand="0" w:noVBand="1" w:val="04A0"/>
      </w:tblPr>
      <w:tblGrid>
        <w:gridCol w:w="3240"/>
        <w:gridCol w:w="4896"/>
        <w:gridCol w:w="3384"/>
        <w:gridCol w:w="3816"/>
      </w:tblGrid>
      <w:tr>
        <w:trPr>
          <w:tblHeader/>
        </w:trPr>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Learning intentions</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Suggested sequence</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Student evidence</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Teacher checkpoints</w:t>
            </w:r>
          </w:p>
        </w:tc>
      </w:tr>
      <w:tr>
        <w:tc>
          <w:tcPr>
            <w:tcW w:type="dxa" w:w="3240"/>
            <w:vAlign w:val="center"/>
            <w:tcMar>
              <w:top w:w="80" w:type="dxa"/>
              <w:start w:w="120" w:type="dxa"/>
              <w:bottom w:w="80" w:type="dxa"/>
              <w:end w:w="120" w:type="dxa"/>
            </w:tcMar>
          </w:tcPr>
          <w:p>
            <w:pPr>
              <w:spacing w:after="40" w:line="252" w:lineRule="auto"/>
            </w:pPr>
            <w:r/>
            <w:r>
              <w:rPr>
                <w:rFonts w:ascii="Calibri" w:hAnsi="Calibri"/>
                <w:b w:val="0"/>
                <w:color w:val="10283B"/>
                <w:sz w:val="16"/>
              </w:rPr>
              <w:t>IPO; microcontroller, shield and sketch roles; fixed pin map.</w:t>
            </w:r>
          </w:p>
        </w:tc>
        <w:tc>
          <w:tcPr>
            <w:tcW w:type="dxa" w:w="4896"/>
            <w:vAlign w:val="center"/>
            <w:tcMar>
              <w:top w:w="80" w:type="dxa"/>
              <w:start w:w="120" w:type="dxa"/>
              <w:bottom w:w="80" w:type="dxa"/>
              <w:end w:w="120" w:type="dxa"/>
            </w:tcMar>
          </w:tcPr>
          <w:p>
            <w:pPr>
              <w:spacing w:after="40" w:line="252" w:lineRule="auto"/>
            </w:pPr>
            <w:r/>
            <w:r>
              <w:rPr>
                <w:rFonts w:ascii="Calibri" w:hAnsi="Calibri"/>
                <w:b w:val="0"/>
                <w:color w:val="10283B"/>
                <w:sz w:val="16"/>
              </w:rPr>
              <w:t>Launch with the module presentation. Teach the three theory sections. Students complete adjacent checks and guided responses, then undertake the linked activity studio. Practical work follows the teacher-confirmed lesson allocation.</w:t>
            </w:r>
          </w:p>
        </w:tc>
        <w:tc>
          <w:tcPr>
            <w:tcW w:type="dxa" w:w="3384"/>
            <w:vAlign w:val="center"/>
            <w:tcMar>
              <w:top w:w="80" w:type="dxa"/>
              <w:start w:w="120" w:type="dxa"/>
              <w:bottom w:w="80" w:type="dxa"/>
              <w:end w:w="120" w:type="dxa"/>
            </w:tcMar>
          </w:tcPr>
          <w:p>
            <w:pPr>
              <w:spacing w:after="40" w:line="252" w:lineRule="auto"/>
            </w:pPr>
            <w:r/>
            <w:r>
              <w:rPr>
                <w:rFonts w:ascii="Calibri" w:hAnsi="Calibri"/>
                <w:b w:val="0"/>
                <w:color w:val="10283B"/>
                <w:sz w:val="16"/>
              </w:rPr>
              <w:t>Hardware map; control-system detective; 30 checks; 3 responses.</w:t>
            </w:r>
          </w:p>
        </w:tc>
        <w:tc>
          <w:tcPr>
            <w:tcW w:type="dxa" w:w="3816"/>
            <w:vAlign w:val="center"/>
            <w:tcMar>
              <w:top w:w="80" w:type="dxa"/>
              <w:start w:w="120" w:type="dxa"/>
              <w:bottom w:w="80" w:type="dxa"/>
              <w:end w:w="120" w:type="dxa"/>
            </w:tcMar>
          </w:tcPr>
          <w:p>
            <w:pPr>
              <w:spacing w:after="40" w:line="252" w:lineRule="auto"/>
            </w:pPr>
            <w:r/>
            <w:r>
              <w:rPr>
                <w:rFonts w:ascii="Calibri" w:hAnsi="Calibri"/>
                <w:b w:val="0"/>
                <w:color w:val="10283B"/>
                <w:sz w:val="16"/>
              </w:rPr>
              <w:t>Confirm equipment, supervision and current class controls. Check that theory, planning and code use the fixed pin map. Use question and response evidence to reteach precisely. Outcome focus: TE4-MSC-01, TE4-DIG-02.</w:t>
            </w:r>
          </w:p>
        </w:tc>
      </w:tr>
    </w:tbl>
    <w:p/>
    <w:p>
      <w:pPr>
        <w:pStyle w:val="Heading2"/>
      </w:pPr>
      <w:r>
        <w:t>Week 2: Make light obey the code</w:t>
      </w:r>
    </w:p>
    <w:tbl>
      <w:tblPr>
        <w:tblW w:type="auto" w:w="0"/>
        <w:jc w:val="center"/>
        <w:tblLayout w:type="fixed"/>
        <w:tblLook w:firstColumn="1" w:firstRow="1" w:lastColumn="0" w:lastRow="0" w:noHBand="0" w:noVBand="1" w:val="04A0"/>
      </w:tblPr>
      <w:tblGrid>
        <w:gridCol w:w="3240"/>
        <w:gridCol w:w="4896"/>
        <w:gridCol w:w="3384"/>
        <w:gridCol w:w="3816"/>
      </w:tblGrid>
      <w:tr>
        <w:trPr>
          <w:tblHeader/>
        </w:trPr>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Learning intentions</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Suggested sequence</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Student evidence</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Teacher checkpoints</w:t>
            </w:r>
          </w:p>
        </w:tc>
      </w:tr>
      <w:tr>
        <w:tc>
          <w:tcPr>
            <w:tcW w:type="dxa" w:w="3240"/>
            <w:vAlign w:val="center"/>
            <w:tcMar>
              <w:top w:w="80" w:type="dxa"/>
              <w:start w:w="120" w:type="dxa"/>
              <w:bottom w:w="80" w:type="dxa"/>
              <w:end w:w="120" w:type="dxa"/>
            </w:tcMar>
          </w:tcPr>
          <w:p>
            <w:pPr>
              <w:spacing w:after="40" w:line="252" w:lineRule="auto"/>
            </w:pPr>
            <w:r/>
            <w:r>
              <w:rPr>
                <w:rFonts w:ascii="Calibri" w:hAnsi="Calibri"/>
                <w:b w:val="0"/>
                <w:color w:val="10283B"/>
                <w:sz w:val="16"/>
              </w:rPr>
              <w:t>setup/loop; digitalWrite; HIGH/LOW; timing; Getting Flashy and Even Flashier.</w:t>
            </w:r>
          </w:p>
        </w:tc>
        <w:tc>
          <w:tcPr>
            <w:tcW w:type="dxa" w:w="4896"/>
            <w:vAlign w:val="center"/>
            <w:tcMar>
              <w:top w:w="80" w:type="dxa"/>
              <w:start w:w="120" w:type="dxa"/>
              <w:bottom w:w="80" w:type="dxa"/>
              <w:end w:w="120" w:type="dxa"/>
            </w:tcMar>
          </w:tcPr>
          <w:p>
            <w:pPr>
              <w:spacing w:after="40" w:line="252" w:lineRule="auto"/>
            </w:pPr>
            <w:r/>
            <w:r>
              <w:rPr>
                <w:rFonts w:ascii="Calibri" w:hAnsi="Calibri"/>
                <w:b w:val="0"/>
                <w:color w:val="10283B"/>
                <w:sz w:val="16"/>
              </w:rPr>
              <w:t>Launch with the module presentation. Teach the three theory sections. Students complete adjacent checks and guided responses, then undertake the linked activity studio. Practical work follows the teacher-confirmed lesson allocation.</w:t>
            </w:r>
          </w:p>
        </w:tc>
        <w:tc>
          <w:tcPr>
            <w:tcW w:type="dxa" w:w="3384"/>
            <w:vAlign w:val="center"/>
            <w:tcMar>
              <w:top w:w="80" w:type="dxa"/>
              <w:start w:w="120" w:type="dxa"/>
              <w:bottom w:w="80" w:type="dxa"/>
              <w:end w:w="120" w:type="dxa"/>
            </w:tcMar>
          </w:tcPr>
          <w:p>
            <w:pPr>
              <w:spacing w:after="40" w:line="252" w:lineRule="auto"/>
            </w:pPr>
            <w:r/>
            <w:r>
              <w:rPr>
                <w:rFonts w:ascii="Calibri" w:hAnsi="Calibri"/>
                <w:b w:val="0"/>
                <w:color w:val="10283B"/>
                <w:sz w:val="16"/>
              </w:rPr>
              <w:t>Predictions, timing comparison and first debugging record.</w:t>
            </w:r>
          </w:p>
        </w:tc>
        <w:tc>
          <w:tcPr>
            <w:tcW w:type="dxa" w:w="3816"/>
            <w:vAlign w:val="center"/>
            <w:tcMar>
              <w:top w:w="80" w:type="dxa"/>
              <w:start w:w="120" w:type="dxa"/>
              <w:bottom w:w="80" w:type="dxa"/>
              <w:end w:w="120" w:type="dxa"/>
            </w:tcMar>
          </w:tcPr>
          <w:p>
            <w:pPr>
              <w:spacing w:after="40" w:line="252" w:lineRule="auto"/>
            </w:pPr>
            <w:r/>
            <w:r>
              <w:rPr>
                <w:rFonts w:ascii="Calibri" w:hAnsi="Calibri"/>
                <w:b w:val="0"/>
                <w:color w:val="10283B"/>
                <w:sz w:val="16"/>
              </w:rPr>
              <w:t>Confirm equipment, supervision and current class controls. Check that theory, planning and code use the fixed pin map. Use question and response evidence to reteach precisely. Outcome focus: TE4-DIG-02, TE4-SAF-01.</w:t>
            </w:r>
          </w:p>
        </w:tc>
      </w:tr>
    </w:tbl>
    <w:p/>
    <w:p>
      <w:pPr>
        <w:pStyle w:val="Heading2"/>
      </w:pPr>
      <w:r>
        <w:t>Week 3: Plan the logic before coding</w:t>
      </w:r>
    </w:p>
    <w:tbl>
      <w:tblPr>
        <w:tblW w:type="auto" w:w="0"/>
        <w:jc w:val="center"/>
        <w:tblLayout w:type="fixed"/>
        <w:tblLook w:firstColumn="1" w:firstRow="1" w:lastColumn="0" w:lastRow="0" w:noHBand="0" w:noVBand="1" w:val="04A0"/>
      </w:tblPr>
      <w:tblGrid>
        <w:gridCol w:w="3240"/>
        <w:gridCol w:w="4896"/>
        <w:gridCol w:w="3384"/>
        <w:gridCol w:w="3816"/>
      </w:tblGrid>
      <w:tr>
        <w:trPr>
          <w:tblHeader/>
        </w:trPr>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Learning intentions</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Suggested sequence</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Student evidence</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Teacher checkpoints</w:t>
            </w:r>
          </w:p>
        </w:tc>
      </w:tr>
      <w:tr>
        <w:tc>
          <w:tcPr>
            <w:tcW w:type="dxa" w:w="3240"/>
            <w:vAlign w:val="center"/>
            <w:tcMar>
              <w:top w:w="80" w:type="dxa"/>
              <w:start w:w="120" w:type="dxa"/>
              <w:bottom w:w="80" w:type="dxa"/>
              <w:end w:w="120" w:type="dxa"/>
            </w:tcMar>
          </w:tcPr>
          <w:p>
            <w:pPr>
              <w:spacing w:after="40" w:line="252" w:lineRule="auto"/>
            </w:pPr>
            <w:r/>
            <w:r>
              <w:rPr>
                <w:rFonts w:ascii="Calibri" w:hAnsi="Calibri"/>
                <w:b w:val="0"/>
                <w:color w:val="10283B"/>
                <w:sz w:val="16"/>
              </w:rPr>
              <w:t>Algorithms, pseudocode, flowcharts and conditional branching.</w:t>
            </w:r>
          </w:p>
        </w:tc>
        <w:tc>
          <w:tcPr>
            <w:tcW w:type="dxa" w:w="4896"/>
            <w:vAlign w:val="center"/>
            <w:tcMar>
              <w:top w:w="80" w:type="dxa"/>
              <w:start w:w="120" w:type="dxa"/>
              <w:bottom w:w="80" w:type="dxa"/>
              <w:end w:w="120" w:type="dxa"/>
            </w:tcMar>
          </w:tcPr>
          <w:p>
            <w:pPr>
              <w:spacing w:after="40" w:line="252" w:lineRule="auto"/>
            </w:pPr>
            <w:r/>
            <w:r>
              <w:rPr>
                <w:rFonts w:ascii="Calibri" w:hAnsi="Calibri"/>
                <w:b w:val="0"/>
                <w:color w:val="10283B"/>
                <w:sz w:val="16"/>
              </w:rPr>
              <w:t>Launch with the module presentation. Teach the three theory sections. Students complete adjacent checks and guided responses, then undertake the linked activity studio. Practical work follows the teacher-confirmed lesson allocation.</w:t>
            </w:r>
          </w:p>
        </w:tc>
        <w:tc>
          <w:tcPr>
            <w:tcW w:type="dxa" w:w="3384"/>
            <w:vAlign w:val="center"/>
            <w:tcMar>
              <w:top w:w="80" w:type="dxa"/>
              <w:start w:w="120" w:type="dxa"/>
              <w:bottom w:w="80" w:type="dxa"/>
              <w:end w:w="120" w:type="dxa"/>
            </w:tcMar>
          </w:tcPr>
          <w:p>
            <w:pPr>
              <w:spacing w:after="40" w:line="252" w:lineRule="auto"/>
            </w:pPr>
            <w:r/>
            <w:r>
              <w:rPr>
                <w:rFonts w:ascii="Calibri" w:hAnsi="Calibri"/>
                <w:b w:val="0"/>
                <w:color w:val="10283B"/>
                <w:sz w:val="16"/>
              </w:rPr>
              <w:t>Algorithm, dry-run and two-path flowchart.</w:t>
            </w:r>
          </w:p>
        </w:tc>
        <w:tc>
          <w:tcPr>
            <w:tcW w:type="dxa" w:w="3816"/>
            <w:vAlign w:val="center"/>
            <w:tcMar>
              <w:top w:w="80" w:type="dxa"/>
              <w:start w:w="120" w:type="dxa"/>
              <w:bottom w:w="80" w:type="dxa"/>
              <w:end w:w="120" w:type="dxa"/>
            </w:tcMar>
          </w:tcPr>
          <w:p>
            <w:pPr>
              <w:spacing w:after="40" w:line="252" w:lineRule="auto"/>
            </w:pPr>
            <w:r/>
            <w:r>
              <w:rPr>
                <w:rFonts w:ascii="Calibri" w:hAnsi="Calibri"/>
                <w:b w:val="0"/>
                <w:color w:val="10283B"/>
                <w:sz w:val="16"/>
              </w:rPr>
              <w:t>Confirm equipment, supervision and current class controls. Check that theory, planning and code use the fixed pin map. Use question and response evidence to reteach precisely. Outcome focus: TE4-DIG-02, TE4-DES-01.</w:t>
            </w:r>
          </w:p>
        </w:tc>
      </w:tr>
    </w:tbl>
    <w:p/>
    <w:p>
      <w:pPr>
        <w:pStyle w:val="Heading2"/>
      </w:pPr>
      <w:r>
        <w:t>Week 4: Read changing data</w:t>
      </w:r>
    </w:p>
    <w:tbl>
      <w:tblPr>
        <w:tblW w:type="auto" w:w="0"/>
        <w:jc w:val="center"/>
        <w:tblLayout w:type="fixed"/>
        <w:tblLook w:firstColumn="1" w:firstRow="1" w:lastColumn="0" w:lastRow="0" w:noHBand="0" w:noVBand="1" w:val="04A0"/>
      </w:tblPr>
      <w:tblGrid>
        <w:gridCol w:w="3240"/>
        <w:gridCol w:w="4896"/>
        <w:gridCol w:w="3384"/>
        <w:gridCol w:w="3816"/>
      </w:tblGrid>
      <w:tr>
        <w:trPr>
          <w:tblHeader/>
        </w:trPr>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Learning intentions</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Suggested sequence</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Student evidence</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Teacher checkpoints</w:t>
            </w:r>
          </w:p>
        </w:tc>
      </w:tr>
      <w:tr>
        <w:tc>
          <w:tcPr>
            <w:tcW w:type="dxa" w:w="3240"/>
            <w:vAlign w:val="center"/>
            <w:tcMar>
              <w:top w:w="80" w:type="dxa"/>
              <w:start w:w="120" w:type="dxa"/>
              <w:bottom w:w="80" w:type="dxa"/>
              <w:end w:w="120" w:type="dxa"/>
            </w:tcMar>
          </w:tcPr>
          <w:p>
            <w:pPr>
              <w:spacing w:after="40" w:line="252" w:lineRule="auto"/>
            </w:pPr>
            <w:r/>
            <w:r>
              <w:rPr>
                <w:rFonts w:ascii="Calibri" w:hAnsi="Calibri"/>
                <w:b w:val="0"/>
                <w:color w:val="10283B"/>
                <w:sz w:val="16"/>
              </w:rPr>
              <w:t>POT Basics, A Light Dimmer, POT LED Bouncer; analogue data, map and calibration.</w:t>
            </w:r>
          </w:p>
        </w:tc>
        <w:tc>
          <w:tcPr>
            <w:tcW w:type="dxa" w:w="4896"/>
            <w:vAlign w:val="center"/>
            <w:tcMar>
              <w:top w:w="80" w:type="dxa"/>
              <w:start w:w="120" w:type="dxa"/>
              <w:bottom w:w="80" w:type="dxa"/>
              <w:end w:w="120" w:type="dxa"/>
            </w:tcMar>
          </w:tcPr>
          <w:p>
            <w:pPr>
              <w:spacing w:after="40" w:line="252" w:lineRule="auto"/>
            </w:pPr>
            <w:r/>
            <w:r>
              <w:rPr>
                <w:rFonts w:ascii="Calibri" w:hAnsi="Calibri"/>
                <w:b w:val="0"/>
                <w:color w:val="10283B"/>
                <w:sz w:val="16"/>
              </w:rPr>
              <w:t>Launch with the module presentation. Teach the three theory sections. Students complete adjacent checks and guided responses, then undertake the linked activity studio. Practical work follows the teacher-confirmed lesson allocation.</w:t>
            </w:r>
          </w:p>
        </w:tc>
        <w:tc>
          <w:tcPr>
            <w:tcW w:type="dxa" w:w="3384"/>
            <w:vAlign w:val="center"/>
            <w:tcMar>
              <w:top w:w="80" w:type="dxa"/>
              <w:start w:w="120" w:type="dxa"/>
              <w:bottom w:w="80" w:type="dxa"/>
              <w:end w:w="120" w:type="dxa"/>
            </w:tcMar>
          </w:tcPr>
          <w:p>
            <w:pPr>
              <w:spacing w:after="40" w:line="252" w:lineRule="auto"/>
            </w:pPr>
            <w:r/>
            <w:r>
              <w:rPr>
                <w:rFonts w:ascii="Calibri" w:hAnsi="Calibri"/>
                <w:b w:val="0"/>
                <w:color w:val="10283B"/>
                <w:sz w:val="16"/>
              </w:rPr>
              <w:t>Measured A5 range, mapping table and calibration justification.</w:t>
            </w:r>
          </w:p>
        </w:tc>
        <w:tc>
          <w:tcPr>
            <w:tcW w:type="dxa" w:w="3816"/>
            <w:vAlign w:val="center"/>
            <w:tcMar>
              <w:top w:w="80" w:type="dxa"/>
              <w:start w:w="120" w:type="dxa"/>
              <w:bottom w:w="80" w:type="dxa"/>
              <w:end w:w="120" w:type="dxa"/>
            </w:tcMar>
          </w:tcPr>
          <w:p>
            <w:pPr>
              <w:spacing w:after="40" w:line="252" w:lineRule="auto"/>
            </w:pPr>
            <w:r/>
            <w:r>
              <w:rPr>
                <w:rFonts w:ascii="Calibri" w:hAnsi="Calibri"/>
                <w:b w:val="0"/>
                <w:color w:val="10283B"/>
                <w:sz w:val="16"/>
              </w:rPr>
              <w:t>Confirm equipment, supervision and current class controls. Check that theory, planning and code use the fixed pin map. Use question and response evidence to reteach precisely. Outcome focus: TE4-DIG-02, TE4-MSC-01.</w:t>
            </w:r>
          </w:p>
        </w:tc>
      </w:tr>
    </w:tbl>
    <w:p/>
    <w:p>
      <w:pPr>
        <w:pStyle w:val="Heading2"/>
      </w:pPr>
      <w:r>
        <w:t>Week 5: Sense the light</w:t>
      </w:r>
    </w:p>
    <w:tbl>
      <w:tblPr>
        <w:tblW w:type="auto" w:w="0"/>
        <w:jc w:val="center"/>
        <w:tblLayout w:type="fixed"/>
        <w:tblLook w:firstColumn="1" w:firstRow="1" w:lastColumn="0" w:lastRow="0" w:noHBand="0" w:noVBand="1" w:val="04A0"/>
      </w:tblPr>
      <w:tblGrid>
        <w:gridCol w:w="3240"/>
        <w:gridCol w:w="4896"/>
        <w:gridCol w:w="3384"/>
        <w:gridCol w:w="3816"/>
      </w:tblGrid>
      <w:tr>
        <w:trPr>
          <w:tblHeader/>
        </w:trPr>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Learning intentions</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Suggested sequence</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Student evidence</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Teacher checkpoints</w:t>
            </w:r>
          </w:p>
        </w:tc>
      </w:tr>
      <w:tr>
        <w:tc>
          <w:tcPr>
            <w:tcW w:type="dxa" w:w="3240"/>
            <w:vAlign w:val="center"/>
            <w:tcMar>
              <w:top w:w="80" w:type="dxa"/>
              <w:start w:w="120" w:type="dxa"/>
              <w:bottom w:w="80" w:type="dxa"/>
              <w:end w:w="120" w:type="dxa"/>
            </w:tcMar>
          </w:tcPr>
          <w:p>
            <w:pPr>
              <w:spacing w:after="40" w:line="252" w:lineRule="auto"/>
            </w:pPr>
            <w:r/>
            <w:r>
              <w:rPr>
                <w:rFonts w:ascii="Calibri" w:hAnsi="Calibri"/>
                <w:b w:val="0"/>
                <w:color w:val="10283B"/>
                <w:sz w:val="16"/>
              </w:rPr>
              <w:t>LDR Basics and LDR Night Light; thresholds and sensor-response loops.</w:t>
            </w:r>
          </w:p>
        </w:tc>
        <w:tc>
          <w:tcPr>
            <w:tcW w:type="dxa" w:w="4896"/>
            <w:vAlign w:val="center"/>
            <w:tcMar>
              <w:top w:w="80" w:type="dxa"/>
              <w:start w:w="120" w:type="dxa"/>
              <w:bottom w:w="80" w:type="dxa"/>
              <w:end w:w="120" w:type="dxa"/>
            </w:tcMar>
          </w:tcPr>
          <w:p>
            <w:pPr>
              <w:spacing w:after="40" w:line="252" w:lineRule="auto"/>
            </w:pPr>
            <w:r/>
            <w:r>
              <w:rPr>
                <w:rFonts w:ascii="Calibri" w:hAnsi="Calibri"/>
                <w:b w:val="0"/>
                <w:color w:val="10283B"/>
                <w:sz w:val="16"/>
              </w:rPr>
              <w:t>Launch with the module presentation. Teach the three theory sections. Students complete adjacent checks and guided responses, then undertake the linked activity studio. Practical work follows the teacher-confirmed lesson allocation.</w:t>
            </w:r>
          </w:p>
        </w:tc>
        <w:tc>
          <w:tcPr>
            <w:tcW w:type="dxa" w:w="3384"/>
            <w:vAlign w:val="center"/>
            <w:tcMar>
              <w:top w:w="80" w:type="dxa"/>
              <w:start w:w="120" w:type="dxa"/>
              <w:bottom w:w="80" w:type="dxa"/>
              <w:end w:w="120" w:type="dxa"/>
            </w:tcMar>
          </w:tcPr>
          <w:p>
            <w:pPr>
              <w:spacing w:after="40" w:line="252" w:lineRule="auto"/>
            </w:pPr>
            <w:r/>
            <w:r>
              <w:rPr>
                <w:rFonts w:ascii="Calibri" w:hAnsi="Calibri"/>
                <w:b w:val="0"/>
                <w:color w:val="10283B"/>
                <w:sz w:val="16"/>
              </w:rPr>
              <w:t>A4 data set, justified threshold, trigger and recovery evidence.</w:t>
            </w:r>
          </w:p>
        </w:tc>
        <w:tc>
          <w:tcPr>
            <w:tcW w:type="dxa" w:w="3816"/>
            <w:vAlign w:val="center"/>
            <w:tcMar>
              <w:top w:w="80" w:type="dxa"/>
              <w:start w:w="120" w:type="dxa"/>
              <w:bottom w:w="80" w:type="dxa"/>
              <w:end w:w="120" w:type="dxa"/>
            </w:tcMar>
          </w:tcPr>
          <w:p>
            <w:pPr>
              <w:spacing w:after="40" w:line="252" w:lineRule="auto"/>
            </w:pPr>
            <w:r/>
            <w:r>
              <w:rPr>
                <w:rFonts w:ascii="Calibri" w:hAnsi="Calibri"/>
                <w:b w:val="0"/>
                <w:color w:val="10283B"/>
                <w:sz w:val="16"/>
              </w:rPr>
              <w:t>Confirm equipment, supervision and current class controls. Check that theory, planning and code use the fixed pin map. Use question and response evidence to reteach precisely. Outcome focus: TE4-DIG-02, TE4-PDP-01.</w:t>
            </w:r>
          </w:p>
        </w:tc>
      </w:tr>
    </w:tbl>
    <w:p/>
    <w:p>
      <w:pPr>
        <w:pStyle w:val="Heading2"/>
      </w:pPr>
      <w:r>
        <w:t>Week 6: Make the code choose</w:t>
      </w:r>
    </w:p>
    <w:tbl>
      <w:tblPr>
        <w:tblW w:type="auto" w:w="0"/>
        <w:jc w:val="center"/>
        <w:tblLayout w:type="fixed"/>
        <w:tblLook w:firstColumn="1" w:firstRow="1" w:lastColumn="0" w:lastRow="0" w:noHBand="0" w:noVBand="1" w:val="04A0"/>
      </w:tblPr>
      <w:tblGrid>
        <w:gridCol w:w="3240"/>
        <w:gridCol w:w="4896"/>
        <w:gridCol w:w="3384"/>
        <w:gridCol w:w="3816"/>
      </w:tblGrid>
      <w:tr>
        <w:trPr>
          <w:tblHeader/>
        </w:trPr>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Learning intentions</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Suggested sequence</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Student evidence</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Teacher checkpoints</w:t>
            </w:r>
          </w:p>
        </w:tc>
      </w:tr>
      <w:tr>
        <w:tc>
          <w:tcPr>
            <w:tcW w:type="dxa" w:w="3240"/>
            <w:vAlign w:val="center"/>
            <w:tcMar>
              <w:top w:w="80" w:type="dxa"/>
              <w:start w:w="120" w:type="dxa"/>
              <w:bottom w:w="80" w:type="dxa"/>
              <w:end w:w="120" w:type="dxa"/>
            </w:tcMar>
          </w:tcPr>
          <w:p>
            <w:pPr>
              <w:spacing w:after="40" w:line="252" w:lineRule="auto"/>
            </w:pPr>
            <w:r/>
            <w:r>
              <w:rPr>
                <w:rFonts w:ascii="Calibri" w:hAnsi="Calibri"/>
                <w:b w:val="0"/>
                <w:color w:val="10283B"/>
                <w:sz w:val="16"/>
              </w:rPr>
              <w:t>Push Button Basics and Get A Toggle On; pin 7, if/else and Boolean state.</w:t>
            </w:r>
          </w:p>
        </w:tc>
        <w:tc>
          <w:tcPr>
            <w:tcW w:type="dxa" w:w="4896"/>
            <w:vAlign w:val="center"/>
            <w:tcMar>
              <w:top w:w="80" w:type="dxa"/>
              <w:start w:w="120" w:type="dxa"/>
              <w:bottom w:w="80" w:type="dxa"/>
              <w:end w:w="120" w:type="dxa"/>
            </w:tcMar>
          </w:tcPr>
          <w:p>
            <w:pPr>
              <w:spacing w:after="40" w:line="252" w:lineRule="auto"/>
            </w:pPr>
            <w:r/>
            <w:r>
              <w:rPr>
                <w:rFonts w:ascii="Calibri" w:hAnsi="Calibri"/>
                <w:b w:val="0"/>
                <w:color w:val="10283B"/>
                <w:sz w:val="16"/>
              </w:rPr>
              <w:t>Launch with the module presentation. Teach the three theory sections. Students complete adjacent checks and guided responses, then undertake the linked activity studio. Practical work follows the teacher-confirmed lesson allocation.</w:t>
            </w:r>
          </w:p>
        </w:tc>
        <w:tc>
          <w:tcPr>
            <w:tcW w:type="dxa" w:w="3384"/>
            <w:vAlign w:val="center"/>
            <w:tcMar>
              <w:top w:w="80" w:type="dxa"/>
              <w:start w:w="120" w:type="dxa"/>
              <w:bottom w:w="80" w:type="dxa"/>
              <w:end w:w="120" w:type="dxa"/>
            </w:tcMar>
          </w:tcPr>
          <w:p>
            <w:pPr>
              <w:spacing w:after="40" w:line="252" w:lineRule="auto"/>
            </w:pPr>
            <w:r/>
            <w:r>
              <w:rPr>
                <w:rFonts w:ascii="Calibri" w:hAnsi="Calibri"/>
                <w:b w:val="0"/>
                <w:color w:val="10283B"/>
                <w:sz w:val="16"/>
              </w:rPr>
              <w:t>Button-state table, branch trace and toggle state trace.</w:t>
            </w:r>
          </w:p>
        </w:tc>
        <w:tc>
          <w:tcPr>
            <w:tcW w:type="dxa" w:w="3816"/>
            <w:vAlign w:val="center"/>
            <w:tcMar>
              <w:top w:w="80" w:type="dxa"/>
              <w:start w:w="120" w:type="dxa"/>
              <w:bottom w:w="80" w:type="dxa"/>
              <w:end w:w="120" w:type="dxa"/>
            </w:tcMar>
          </w:tcPr>
          <w:p>
            <w:pPr>
              <w:spacing w:after="40" w:line="252" w:lineRule="auto"/>
            </w:pPr>
            <w:r/>
            <w:r>
              <w:rPr>
                <w:rFonts w:ascii="Calibri" w:hAnsi="Calibri"/>
                <w:b w:val="0"/>
                <w:color w:val="10283B"/>
                <w:sz w:val="16"/>
              </w:rPr>
              <w:t>Confirm equipment, supervision and current class controls. Check that theory, planning and code use the fixed pin map. Use question and response evidence to reteach precisely. Outcome focus: TE4-DIG-02, TE4-MSC-01.</w:t>
            </w:r>
          </w:p>
        </w:tc>
      </w:tr>
    </w:tbl>
    <w:p/>
    <w:p>
      <w:pPr>
        <w:pStyle w:val="Heading2"/>
      </w:pPr>
      <w:r>
        <w:t>Week 7: Turn numbers into sound</w:t>
      </w:r>
    </w:p>
    <w:tbl>
      <w:tblPr>
        <w:tblW w:type="auto" w:w="0"/>
        <w:jc w:val="center"/>
        <w:tblLayout w:type="fixed"/>
        <w:tblLook w:firstColumn="1" w:firstRow="1" w:lastColumn="0" w:lastRow="0" w:noHBand="0" w:noVBand="1" w:val="04A0"/>
      </w:tblPr>
      <w:tblGrid>
        <w:gridCol w:w="3240"/>
        <w:gridCol w:w="4896"/>
        <w:gridCol w:w="3384"/>
        <w:gridCol w:w="3816"/>
      </w:tblGrid>
      <w:tr>
        <w:trPr>
          <w:tblHeader/>
        </w:trPr>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Learning intentions</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Suggested sequence</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Student evidence</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Teacher checkpoints</w:t>
            </w:r>
          </w:p>
        </w:tc>
      </w:tr>
      <w:tr>
        <w:tc>
          <w:tcPr>
            <w:tcW w:type="dxa" w:w="3240"/>
            <w:vAlign w:val="center"/>
            <w:tcMar>
              <w:top w:w="80" w:type="dxa"/>
              <w:start w:w="120" w:type="dxa"/>
              <w:bottom w:w="80" w:type="dxa"/>
              <w:end w:w="120" w:type="dxa"/>
            </w:tcMar>
          </w:tcPr>
          <w:p>
            <w:pPr>
              <w:spacing w:after="40" w:line="252" w:lineRule="auto"/>
            </w:pPr>
            <w:r/>
            <w:r>
              <w:rPr>
                <w:rFonts w:ascii="Calibri" w:hAnsi="Calibri"/>
                <w:b w:val="0"/>
                <w:color w:val="10283B"/>
                <w:sz w:val="16"/>
              </w:rPr>
              <w:t>Buzzer Basics, Pitch Changer and Play a Song; frequency, mapping and sequences.</w:t>
            </w:r>
          </w:p>
        </w:tc>
        <w:tc>
          <w:tcPr>
            <w:tcW w:type="dxa" w:w="4896"/>
            <w:vAlign w:val="center"/>
            <w:tcMar>
              <w:top w:w="80" w:type="dxa"/>
              <w:start w:w="120" w:type="dxa"/>
              <w:bottom w:w="80" w:type="dxa"/>
              <w:end w:w="120" w:type="dxa"/>
            </w:tcMar>
          </w:tcPr>
          <w:p>
            <w:pPr>
              <w:spacing w:after="40" w:line="252" w:lineRule="auto"/>
            </w:pPr>
            <w:r/>
            <w:r>
              <w:rPr>
                <w:rFonts w:ascii="Calibri" w:hAnsi="Calibri"/>
                <w:b w:val="0"/>
                <w:color w:val="10283B"/>
                <w:sz w:val="16"/>
              </w:rPr>
              <w:t>Launch with the module presentation. Teach the three theory sections. Students complete adjacent checks and guided responses, then undertake the linked activity studio. Practical work follows the teacher-confirmed lesson allocation.</w:t>
            </w:r>
          </w:p>
        </w:tc>
        <w:tc>
          <w:tcPr>
            <w:tcW w:type="dxa" w:w="3384"/>
            <w:vAlign w:val="center"/>
            <w:tcMar>
              <w:top w:w="80" w:type="dxa"/>
              <w:start w:w="120" w:type="dxa"/>
              <w:bottom w:w="80" w:type="dxa"/>
              <w:end w:w="120" w:type="dxa"/>
            </w:tcMar>
          </w:tcPr>
          <w:p>
            <w:pPr>
              <w:spacing w:after="40" w:line="252" w:lineRule="auto"/>
            </w:pPr>
            <w:r/>
            <w:r>
              <w:rPr>
                <w:rFonts w:ascii="Calibri" w:hAnsi="Calibri"/>
                <w:b w:val="0"/>
                <w:color w:val="10283B"/>
                <w:sz w:val="16"/>
              </w:rPr>
              <w:t>Tested frequencies, A5-to-pitch trace and melody code annotation.</w:t>
            </w:r>
          </w:p>
        </w:tc>
        <w:tc>
          <w:tcPr>
            <w:tcW w:type="dxa" w:w="3816"/>
            <w:vAlign w:val="center"/>
            <w:tcMar>
              <w:top w:w="80" w:type="dxa"/>
              <w:start w:w="120" w:type="dxa"/>
              <w:bottom w:w="80" w:type="dxa"/>
              <w:end w:w="120" w:type="dxa"/>
            </w:tcMar>
          </w:tcPr>
          <w:p>
            <w:pPr>
              <w:spacing w:after="40" w:line="252" w:lineRule="auto"/>
            </w:pPr>
            <w:r/>
            <w:r>
              <w:rPr>
                <w:rFonts w:ascii="Calibri" w:hAnsi="Calibri"/>
                <w:b w:val="0"/>
                <w:color w:val="10283B"/>
                <w:sz w:val="16"/>
              </w:rPr>
              <w:t>Confirm equipment, supervision and current class controls. Check that theory, planning and code use the fixed pin map. Use question and response evidence to reteach precisely. Outcome focus: TE4-DIG-02, TE4-SAF-01.</w:t>
            </w:r>
          </w:p>
        </w:tc>
      </w:tr>
    </w:tbl>
    <w:p/>
    <w:p>
      <w:pPr>
        <w:pStyle w:val="Heading2"/>
      </w:pPr>
      <w:r>
        <w:t>Week 8: Combine parts into systems</w:t>
      </w:r>
    </w:p>
    <w:tbl>
      <w:tblPr>
        <w:tblW w:type="auto" w:w="0"/>
        <w:jc w:val="center"/>
        <w:tblLayout w:type="fixed"/>
        <w:tblLook w:firstColumn="1" w:firstRow="1" w:lastColumn="0" w:lastRow="0" w:noHBand="0" w:noVBand="1" w:val="04A0"/>
      </w:tblPr>
      <w:tblGrid>
        <w:gridCol w:w="3240"/>
        <w:gridCol w:w="4896"/>
        <w:gridCol w:w="3384"/>
        <w:gridCol w:w="3816"/>
      </w:tblGrid>
      <w:tr>
        <w:trPr>
          <w:tblHeader/>
        </w:trPr>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Learning intentions</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Suggested sequence</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Student evidence</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Teacher checkpoints</w:t>
            </w:r>
          </w:p>
        </w:tc>
      </w:tr>
      <w:tr>
        <w:tc>
          <w:tcPr>
            <w:tcW w:type="dxa" w:w="3240"/>
            <w:vAlign w:val="center"/>
            <w:tcMar>
              <w:top w:w="80" w:type="dxa"/>
              <w:start w:w="120" w:type="dxa"/>
              <w:bottom w:w="80" w:type="dxa"/>
              <w:end w:w="120" w:type="dxa"/>
            </w:tcMar>
          </w:tcPr>
          <w:p>
            <w:pPr>
              <w:spacing w:after="40" w:line="252" w:lineRule="auto"/>
            </w:pPr>
            <w:r/>
            <w:r>
              <w:rPr>
                <w:rFonts w:ascii="Calibri" w:hAnsi="Calibri"/>
                <w:b w:val="0"/>
                <w:color w:val="10283B"/>
                <w:sz w:val="16"/>
              </w:rPr>
              <w:t>Electronic Dice, Buzzing Light Meter and LED Magic Sign; arrays, loops, functions.</w:t>
            </w:r>
          </w:p>
        </w:tc>
        <w:tc>
          <w:tcPr>
            <w:tcW w:type="dxa" w:w="4896"/>
            <w:vAlign w:val="center"/>
            <w:tcMar>
              <w:top w:w="80" w:type="dxa"/>
              <w:start w:w="120" w:type="dxa"/>
              <w:bottom w:w="80" w:type="dxa"/>
              <w:end w:w="120" w:type="dxa"/>
            </w:tcMar>
          </w:tcPr>
          <w:p>
            <w:pPr>
              <w:spacing w:after="40" w:line="252" w:lineRule="auto"/>
            </w:pPr>
            <w:r/>
            <w:r>
              <w:rPr>
                <w:rFonts w:ascii="Calibri" w:hAnsi="Calibri"/>
                <w:b w:val="0"/>
                <w:color w:val="10283B"/>
                <w:sz w:val="16"/>
              </w:rPr>
              <w:t>Launch with the module presentation. Teach the three theory sections. Students complete adjacent checks and guided responses, then undertake the linked activity studio. Practical work follows the teacher-confirmed lesson allocation.</w:t>
            </w:r>
          </w:p>
        </w:tc>
        <w:tc>
          <w:tcPr>
            <w:tcW w:type="dxa" w:w="3384"/>
            <w:vAlign w:val="center"/>
            <w:tcMar>
              <w:top w:w="80" w:type="dxa"/>
              <w:start w:w="120" w:type="dxa"/>
              <w:bottom w:w="80" w:type="dxa"/>
              <w:end w:w="120" w:type="dxa"/>
            </w:tcMar>
          </w:tcPr>
          <w:p>
            <w:pPr>
              <w:spacing w:after="40" w:line="252" w:lineRule="auto"/>
            </w:pPr>
            <w:r/>
            <w:r>
              <w:rPr>
                <w:rFonts w:ascii="Calibri" w:hAnsi="Calibri"/>
                <w:b w:val="0"/>
                <w:color w:val="10283B"/>
                <w:sz w:val="16"/>
              </w:rPr>
              <w:t>Challenge IPO, index trace and subsystem test order.</w:t>
            </w:r>
          </w:p>
        </w:tc>
        <w:tc>
          <w:tcPr>
            <w:tcW w:type="dxa" w:w="3816"/>
            <w:vAlign w:val="center"/>
            <w:tcMar>
              <w:top w:w="80" w:type="dxa"/>
              <w:start w:w="120" w:type="dxa"/>
              <w:bottom w:w="80" w:type="dxa"/>
              <w:end w:w="120" w:type="dxa"/>
            </w:tcMar>
          </w:tcPr>
          <w:p>
            <w:pPr>
              <w:spacing w:after="40" w:line="252" w:lineRule="auto"/>
            </w:pPr>
            <w:r/>
            <w:r>
              <w:rPr>
                <w:rFonts w:ascii="Calibri" w:hAnsi="Calibri"/>
                <w:b w:val="0"/>
                <w:color w:val="10283B"/>
                <w:sz w:val="16"/>
              </w:rPr>
              <w:t>Confirm equipment, supervision and current class controls. Check that theory, planning and code use the fixed pin map. Use question and response evidence to reteach precisely. Outcome focus: TE4-DIG-02, TE4-PPM-01.</w:t>
            </w:r>
          </w:p>
        </w:tc>
      </w:tr>
    </w:tbl>
    <w:p/>
    <w:p>
      <w:pPr>
        <w:pStyle w:val="Heading2"/>
      </w:pPr>
      <w:r>
        <w:t>Week 9: Design the final alarm</w:t>
      </w:r>
    </w:p>
    <w:tbl>
      <w:tblPr>
        <w:tblW w:type="auto" w:w="0"/>
        <w:jc w:val="center"/>
        <w:tblLayout w:type="fixed"/>
        <w:tblLook w:firstColumn="1" w:firstRow="1" w:lastColumn="0" w:lastRow="0" w:noHBand="0" w:noVBand="1" w:val="04A0"/>
      </w:tblPr>
      <w:tblGrid>
        <w:gridCol w:w="3240"/>
        <w:gridCol w:w="4896"/>
        <w:gridCol w:w="3384"/>
        <w:gridCol w:w="3816"/>
      </w:tblGrid>
      <w:tr>
        <w:trPr>
          <w:tblHeader/>
        </w:trPr>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Learning intentions</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Suggested sequence</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Student evidence</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Teacher checkpoints</w:t>
            </w:r>
          </w:p>
        </w:tc>
      </w:tr>
      <w:tr>
        <w:tc>
          <w:tcPr>
            <w:tcW w:type="dxa" w:w="3240"/>
            <w:vAlign w:val="center"/>
            <w:tcMar>
              <w:top w:w="80" w:type="dxa"/>
              <w:start w:w="120" w:type="dxa"/>
              <w:bottom w:w="80" w:type="dxa"/>
              <w:end w:w="120" w:type="dxa"/>
            </w:tcMar>
          </w:tcPr>
          <w:p>
            <w:pPr>
              <w:spacing w:after="40" w:line="252" w:lineRule="auto"/>
            </w:pPr>
            <w:r/>
            <w:r>
              <w:rPr>
                <w:rFonts w:ascii="Calibri" w:hAnsi="Calibri"/>
                <w:b w:val="0"/>
                <w:color w:val="10283B"/>
                <w:sz w:val="16"/>
              </w:rPr>
              <w:t>Final Alarm Code; brief, criteria, aligned planning and production.</w:t>
            </w:r>
          </w:p>
        </w:tc>
        <w:tc>
          <w:tcPr>
            <w:tcW w:type="dxa" w:w="4896"/>
            <w:vAlign w:val="center"/>
            <w:tcMar>
              <w:top w:w="80" w:type="dxa"/>
              <w:start w:w="120" w:type="dxa"/>
              <w:bottom w:w="80" w:type="dxa"/>
              <w:end w:w="120" w:type="dxa"/>
            </w:tcMar>
          </w:tcPr>
          <w:p>
            <w:pPr>
              <w:spacing w:after="40" w:line="252" w:lineRule="auto"/>
            </w:pPr>
            <w:r/>
            <w:r>
              <w:rPr>
                <w:rFonts w:ascii="Calibri" w:hAnsi="Calibri"/>
                <w:b w:val="0"/>
                <w:color w:val="10283B"/>
                <w:sz w:val="16"/>
              </w:rPr>
              <w:t>Launch with the module presentation. Teach the three theory sections. Students complete adjacent checks and guided responses, then undertake the linked activity studio. Practical work follows the teacher-confirmed lesson allocation.</w:t>
            </w:r>
          </w:p>
        </w:tc>
        <w:tc>
          <w:tcPr>
            <w:tcW w:type="dxa" w:w="3384"/>
            <w:vAlign w:val="center"/>
            <w:tcMar>
              <w:top w:w="80" w:type="dxa"/>
              <w:start w:w="120" w:type="dxa"/>
              <w:bottom w:w="80" w:type="dxa"/>
              <w:end w:w="120" w:type="dxa"/>
            </w:tcMar>
          </w:tcPr>
          <w:p>
            <w:pPr>
              <w:spacing w:after="40" w:line="252" w:lineRule="auto"/>
            </w:pPr>
            <w:r/>
            <w:r>
              <w:rPr>
                <w:rFonts w:ascii="Calibri" w:hAnsi="Calibri"/>
                <w:b w:val="0"/>
                <w:color w:val="10283B"/>
                <w:sz w:val="16"/>
              </w:rPr>
              <w:t>Brief, criteria, pin map, IPO, pseudocode, code record and tests.</w:t>
            </w:r>
          </w:p>
        </w:tc>
        <w:tc>
          <w:tcPr>
            <w:tcW w:type="dxa" w:w="3816"/>
            <w:vAlign w:val="center"/>
            <w:tcMar>
              <w:top w:w="80" w:type="dxa"/>
              <w:start w:w="120" w:type="dxa"/>
              <w:bottom w:w="80" w:type="dxa"/>
              <w:end w:w="120" w:type="dxa"/>
            </w:tcMar>
          </w:tcPr>
          <w:p>
            <w:pPr>
              <w:spacing w:after="40" w:line="252" w:lineRule="auto"/>
            </w:pPr>
            <w:r/>
            <w:r>
              <w:rPr>
                <w:rFonts w:ascii="Calibri" w:hAnsi="Calibri"/>
                <w:b w:val="0"/>
                <w:color w:val="10283B"/>
                <w:sz w:val="16"/>
              </w:rPr>
              <w:t>Confirm equipment, supervision and current class controls. Check that theory, planning and code use the fixed pin map. Use question and response evidence to reteach precisely. Outcome focus: TE4-DES-01, TE4-PPM-01, TE4-DIG-02.</w:t>
            </w:r>
          </w:p>
        </w:tc>
      </w:tr>
    </w:tbl>
    <w:p/>
    <w:p>
      <w:pPr>
        <w:pStyle w:val="Heading2"/>
      </w:pPr>
      <w:r>
        <w:t>Week 10: Debug, improve and explain</w:t>
      </w:r>
    </w:p>
    <w:tbl>
      <w:tblPr>
        <w:tblW w:type="auto" w:w="0"/>
        <w:jc w:val="center"/>
        <w:tblLayout w:type="fixed"/>
        <w:tblLook w:firstColumn="1" w:firstRow="1" w:lastColumn="0" w:lastRow="0" w:noHBand="0" w:noVBand="1" w:val="04A0"/>
      </w:tblPr>
      <w:tblGrid>
        <w:gridCol w:w="3240"/>
        <w:gridCol w:w="4896"/>
        <w:gridCol w:w="3384"/>
        <w:gridCol w:w="3816"/>
      </w:tblGrid>
      <w:tr>
        <w:trPr>
          <w:tblHeader/>
        </w:trPr>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Learning intentions</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Suggested sequence</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Student evidence</w:t>
            </w:r>
          </w:p>
        </w:tc>
        <w:tc>
          <w:tcPr>
            <w:tcW w:type="dxa" w:w="371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Teacher checkpoints</w:t>
            </w:r>
          </w:p>
        </w:tc>
      </w:tr>
      <w:tr>
        <w:tc>
          <w:tcPr>
            <w:tcW w:type="dxa" w:w="3240"/>
            <w:vAlign w:val="center"/>
            <w:tcMar>
              <w:top w:w="80" w:type="dxa"/>
              <w:start w:w="120" w:type="dxa"/>
              <w:bottom w:w="80" w:type="dxa"/>
              <w:end w:w="120" w:type="dxa"/>
            </w:tcMar>
          </w:tcPr>
          <w:p>
            <w:pPr>
              <w:spacing w:after="40" w:line="252" w:lineRule="auto"/>
            </w:pPr>
            <w:r/>
            <w:r>
              <w:rPr>
                <w:rFonts w:ascii="Calibri" w:hAnsi="Calibri"/>
                <w:b w:val="0"/>
                <w:color w:val="10283B"/>
                <w:sz w:val="16"/>
              </w:rPr>
              <w:t>Systematic debugging, evidence-based evaluation, backup and hand-in readiness.</w:t>
            </w:r>
          </w:p>
        </w:tc>
        <w:tc>
          <w:tcPr>
            <w:tcW w:type="dxa" w:w="4896"/>
            <w:vAlign w:val="center"/>
            <w:tcMar>
              <w:top w:w="80" w:type="dxa"/>
              <w:start w:w="120" w:type="dxa"/>
              <w:bottom w:w="80" w:type="dxa"/>
              <w:end w:w="120" w:type="dxa"/>
            </w:tcMar>
          </w:tcPr>
          <w:p>
            <w:pPr>
              <w:spacing w:after="40" w:line="252" w:lineRule="auto"/>
            </w:pPr>
            <w:r/>
            <w:r>
              <w:rPr>
                <w:rFonts w:ascii="Calibri" w:hAnsi="Calibri"/>
                <w:b w:val="0"/>
                <w:color w:val="10283B"/>
                <w:sz w:val="16"/>
              </w:rPr>
              <w:t>Launch with the module presentation. Teach the three theory sections. Students complete adjacent checks and guided responses, then undertake the linked activity studio. Practical work follows the teacher-confirmed lesson allocation.</w:t>
            </w:r>
          </w:p>
        </w:tc>
        <w:tc>
          <w:tcPr>
            <w:tcW w:type="dxa" w:w="3384"/>
            <w:vAlign w:val="center"/>
            <w:tcMar>
              <w:top w:w="80" w:type="dxa"/>
              <w:start w:w="120" w:type="dxa"/>
              <w:bottom w:w="80" w:type="dxa"/>
              <w:end w:w="120" w:type="dxa"/>
            </w:tcMar>
          </w:tcPr>
          <w:p>
            <w:pPr>
              <w:spacing w:after="40" w:line="252" w:lineRule="auto"/>
            </w:pPr>
            <w:r/>
            <w:r>
              <w:rPr>
                <w:rFonts w:ascii="Calibri" w:hAnsi="Calibri"/>
                <w:b w:val="0"/>
                <w:color w:val="10283B"/>
                <w:sz w:val="16"/>
              </w:rPr>
              <w:t>Debug log, criterion evaluation, improvements and final backup.</w:t>
            </w:r>
          </w:p>
        </w:tc>
        <w:tc>
          <w:tcPr>
            <w:tcW w:type="dxa" w:w="3816"/>
            <w:vAlign w:val="center"/>
            <w:tcMar>
              <w:top w:w="80" w:type="dxa"/>
              <w:start w:w="120" w:type="dxa"/>
              <w:bottom w:w="80" w:type="dxa"/>
              <w:end w:w="120" w:type="dxa"/>
            </w:tcMar>
          </w:tcPr>
          <w:p>
            <w:pPr>
              <w:spacing w:after="40" w:line="252" w:lineRule="auto"/>
            </w:pPr>
            <w:r/>
            <w:r>
              <w:rPr>
                <w:rFonts w:ascii="Calibri" w:hAnsi="Calibri"/>
                <w:b w:val="0"/>
                <w:color w:val="10283B"/>
                <w:sz w:val="16"/>
              </w:rPr>
              <w:t>Confirm equipment, supervision and current class controls. Check that theory, planning and code use the fixed pin map. Use question and response evidence to reteach precisely. Outcome focus: TE4-DES-01, TE4-DIG-01, TE4-DIG-02.</w:t>
            </w:r>
          </w:p>
        </w:tc>
      </w:tr>
    </w:tbl>
    <w:p/>
    <w:p>
      <w:r>
        <w:br w:type="page"/>
      </w:r>
    </w:p>
    <w:p>
      <w:pPr>
        <w:pStyle w:val="Heading1"/>
      </w:pPr>
      <w:r>
        <w:t>5. Assessment evidence and feedback</w:t>
      </w:r>
    </w:p>
    <w:p>
      <w:r>
        <w:t>The supplied course sources establish a final ThinkerShield alarm challenge but do not establish current-year marks, dates, rubric or submission arrangements. The following evidence structure supports formative feedback and can be mapped to a ratified task once confirmed.</w:t>
      </w:r>
    </w:p>
    <w:tbl>
      <w:tblPr>
        <w:tblW w:type="auto" w:w="0"/>
        <w:jc w:val="center"/>
        <w:tblLayout w:type="fixed"/>
        <w:tblLook w:firstColumn="1" w:firstRow="1" w:lastColumn="0" w:lastRow="0" w:noHBand="0" w:noVBand="1" w:val="04A0"/>
      </w:tblPr>
      <w:tblGrid>
        <w:gridCol w:w="2448"/>
        <w:gridCol w:w="6480"/>
        <w:gridCol w:w="6408"/>
      </w:tblGrid>
      <w:tr>
        <w:trPr>
          <w:tblHeader/>
        </w:trPr>
        <w:tc>
          <w:tcPr>
            <w:tcW w:type="dxa" w:w="495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Evidence family</w:t>
            </w:r>
          </w:p>
        </w:tc>
        <w:tc>
          <w:tcPr>
            <w:tcW w:type="dxa" w:w="495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Examples</w:t>
            </w:r>
          </w:p>
        </w:tc>
        <w:tc>
          <w:tcPr>
            <w:tcW w:type="dxa" w:w="495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Feedback focus</w:t>
            </w:r>
          </w:p>
        </w:tc>
      </w:tr>
      <w:tr>
        <w:tc>
          <w:tcPr>
            <w:tcW w:type="dxa" w:w="2448"/>
            <w:vAlign w:val="center"/>
            <w:tcMar>
              <w:top w:w="80" w:type="dxa"/>
              <w:start w:w="120" w:type="dxa"/>
              <w:bottom w:w="80" w:type="dxa"/>
              <w:end w:w="120" w:type="dxa"/>
            </w:tcMar>
          </w:tcPr>
          <w:p>
            <w:pPr>
              <w:spacing w:after="40" w:line="252" w:lineRule="auto"/>
            </w:pPr>
            <w:r/>
            <w:r>
              <w:rPr>
                <w:rFonts w:ascii="Calibri" w:hAnsi="Calibri"/>
                <w:b w:val="0"/>
                <w:color w:val="10283B"/>
                <w:sz w:val="16"/>
              </w:rPr>
              <w:t>Concept knowledge</w:t>
            </w:r>
          </w:p>
        </w:tc>
        <w:tc>
          <w:tcPr>
            <w:tcW w:type="dxa" w:w="6480"/>
            <w:vAlign w:val="center"/>
            <w:tcMar>
              <w:top w:w="80" w:type="dxa"/>
              <w:start w:w="120" w:type="dxa"/>
              <w:bottom w:w="80" w:type="dxa"/>
              <w:end w:w="120" w:type="dxa"/>
            </w:tcMar>
          </w:tcPr>
          <w:p>
            <w:pPr>
              <w:spacing w:after="40" w:line="252" w:lineRule="auto"/>
            </w:pPr>
            <w:r/>
            <w:r>
              <w:rPr>
                <w:rFonts w:ascii="Calibri" w:hAnsi="Calibri"/>
                <w:b w:val="0"/>
                <w:color w:val="10283B"/>
                <w:sz w:val="16"/>
              </w:rPr>
              <w:t>300 checked questions and 30 guided responses</w:t>
            </w:r>
          </w:p>
        </w:tc>
        <w:tc>
          <w:tcPr>
            <w:tcW w:type="dxa" w:w="6408"/>
            <w:vAlign w:val="center"/>
            <w:tcMar>
              <w:top w:w="80" w:type="dxa"/>
              <w:start w:w="120" w:type="dxa"/>
              <w:bottom w:w="80" w:type="dxa"/>
              <w:end w:w="120" w:type="dxa"/>
            </w:tcMar>
          </w:tcPr>
          <w:p>
            <w:pPr>
              <w:spacing w:after="40" w:line="252" w:lineRule="auto"/>
            </w:pPr>
            <w:r/>
            <w:r>
              <w:rPr>
                <w:rFonts w:ascii="Calibri" w:hAnsi="Calibri"/>
                <w:b w:val="0"/>
                <w:color w:val="10283B"/>
                <w:sz w:val="16"/>
              </w:rPr>
              <w:t>Accuracy, vocabulary, signal-path reasoning and correction after feedback.</w:t>
            </w:r>
          </w:p>
        </w:tc>
      </w:tr>
      <w:tr>
        <w:tc>
          <w:tcPr>
            <w:tcW w:type="dxa" w:w="2448"/>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Practical pathway</w:t>
            </w:r>
          </w:p>
        </w:tc>
        <w:tc>
          <w:tcPr>
            <w:tcW w:type="dxa" w:w="6480"/>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Sixteen authorised coding challenges recorded across ten studios</w:t>
            </w:r>
          </w:p>
        </w:tc>
        <w:tc>
          <w:tcPr>
            <w:tcW w:type="dxa" w:w="6408"/>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Prediction, observation, code trace, calibration, subsystem testing and safe routines.</w:t>
            </w:r>
          </w:p>
        </w:tc>
      </w:tr>
      <w:tr>
        <w:tc>
          <w:tcPr>
            <w:tcW w:type="dxa" w:w="2448"/>
            <w:vAlign w:val="center"/>
            <w:tcMar>
              <w:top w:w="80" w:type="dxa"/>
              <w:start w:w="120" w:type="dxa"/>
              <w:bottom w:w="80" w:type="dxa"/>
              <w:end w:w="120" w:type="dxa"/>
            </w:tcMar>
          </w:tcPr>
          <w:p>
            <w:pPr>
              <w:spacing w:after="40" w:line="252" w:lineRule="auto"/>
            </w:pPr>
            <w:r/>
            <w:r>
              <w:rPr>
                <w:rFonts w:ascii="Calibri" w:hAnsi="Calibri"/>
                <w:b w:val="0"/>
                <w:color w:val="10283B"/>
                <w:sz w:val="16"/>
              </w:rPr>
              <w:t>Design communication</w:t>
            </w:r>
          </w:p>
        </w:tc>
        <w:tc>
          <w:tcPr>
            <w:tcW w:type="dxa" w:w="6480"/>
            <w:vAlign w:val="center"/>
            <w:tcMar>
              <w:top w:w="80" w:type="dxa"/>
              <w:start w:w="120" w:type="dxa"/>
              <w:bottom w:w="80" w:type="dxa"/>
              <w:end w:w="120" w:type="dxa"/>
            </w:tcMar>
          </w:tcPr>
          <w:p>
            <w:pPr>
              <w:spacing w:after="40" w:line="252" w:lineRule="auto"/>
            </w:pPr>
            <w:r/>
            <w:r>
              <w:rPr>
                <w:rFonts w:ascii="Calibri" w:hAnsi="Calibri"/>
                <w:b w:val="0"/>
                <w:color w:val="10283B"/>
                <w:sz w:val="16"/>
              </w:rPr>
              <w:t>Brief, criteria, pin map, IPO, pseudocode and flowchart</w:t>
            </w:r>
          </w:p>
        </w:tc>
        <w:tc>
          <w:tcPr>
            <w:tcW w:type="dxa" w:w="6408"/>
            <w:vAlign w:val="center"/>
            <w:tcMar>
              <w:top w:w="80" w:type="dxa"/>
              <w:start w:w="120" w:type="dxa"/>
              <w:bottom w:w="80" w:type="dxa"/>
              <w:end w:w="120" w:type="dxa"/>
            </w:tcMar>
          </w:tcPr>
          <w:p>
            <w:pPr>
              <w:spacing w:after="40" w:line="252" w:lineRule="auto"/>
            </w:pPr>
            <w:r/>
            <w:r>
              <w:rPr>
                <w:rFonts w:ascii="Calibri" w:hAnsi="Calibri"/>
                <w:b w:val="0"/>
                <w:color w:val="10283B"/>
                <w:sz w:val="16"/>
              </w:rPr>
              <w:t>Agreement between representations, testability and use of constraints.</w:t>
            </w:r>
          </w:p>
        </w:tc>
      </w:tr>
      <w:tr>
        <w:tc>
          <w:tcPr>
            <w:tcW w:type="dxa" w:w="2448"/>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Production and testing</w:t>
            </w:r>
          </w:p>
        </w:tc>
        <w:tc>
          <w:tcPr>
            <w:tcW w:type="dxa" w:w="6480"/>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Final sketch record, test cases, actual results and debugging log</w:t>
            </w:r>
          </w:p>
        </w:tc>
        <w:tc>
          <w:tcPr>
            <w:tcW w:type="dxa" w:w="6408"/>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Reliability, boundary and recovery behaviour, one-change debugging and retest evidence.</w:t>
            </w:r>
          </w:p>
        </w:tc>
      </w:tr>
      <w:tr>
        <w:tc>
          <w:tcPr>
            <w:tcW w:type="dxa" w:w="2448"/>
            <w:vAlign w:val="center"/>
            <w:tcMar>
              <w:top w:w="80" w:type="dxa"/>
              <w:start w:w="120" w:type="dxa"/>
              <w:bottom w:w="80" w:type="dxa"/>
              <w:end w:w="120" w:type="dxa"/>
            </w:tcMar>
          </w:tcPr>
          <w:p>
            <w:pPr>
              <w:spacing w:after="40" w:line="252" w:lineRule="auto"/>
            </w:pPr>
            <w:r/>
            <w:r>
              <w:rPr>
                <w:rFonts w:ascii="Calibri" w:hAnsi="Calibri"/>
                <w:b w:val="0"/>
                <w:color w:val="10283B"/>
                <w:sz w:val="16"/>
              </w:rPr>
              <w:t>Evaluation</w:t>
            </w:r>
          </w:p>
        </w:tc>
        <w:tc>
          <w:tcPr>
            <w:tcW w:type="dxa" w:w="6480"/>
            <w:vAlign w:val="center"/>
            <w:tcMar>
              <w:top w:w="80" w:type="dxa"/>
              <w:start w:w="120" w:type="dxa"/>
              <w:bottom w:w="80" w:type="dxa"/>
              <w:end w:w="120" w:type="dxa"/>
            </w:tcMar>
          </w:tcPr>
          <w:p>
            <w:pPr>
              <w:spacing w:after="40" w:line="252" w:lineRule="auto"/>
            </w:pPr>
            <w:r/>
            <w:r>
              <w:rPr>
                <w:rFonts w:ascii="Calibri" w:hAnsi="Calibri"/>
                <w:b w:val="0"/>
                <w:color w:val="10283B"/>
                <w:sz w:val="16"/>
              </w:rPr>
              <w:t>Criterion-based judgement, improvements and learning reflection</w:t>
            </w:r>
          </w:p>
        </w:tc>
        <w:tc>
          <w:tcPr>
            <w:tcW w:type="dxa" w:w="6408"/>
            <w:vAlign w:val="center"/>
            <w:tcMar>
              <w:top w:w="80" w:type="dxa"/>
              <w:start w:w="120" w:type="dxa"/>
              <w:bottom w:w="80" w:type="dxa"/>
              <w:end w:w="120" w:type="dxa"/>
            </w:tcMar>
          </w:tcPr>
          <w:p>
            <w:pPr>
              <w:spacing w:after="40" w:line="252" w:lineRule="auto"/>
            </w:pPr>
            <w:r/>
            <w:r>
              <w:rPr>
                <w:rFonts w:ascii="Calibri" w:hAnsi="Calibri"/>
                <w:b w:val="0"/>
                <w:color w:val="10283B"/>
                <w:sz w:val="16"/>
              </w:rPr>
              <w:t>Specific evidence, defensible judgement and feasible next action.</w:t>
            </w:r>
          </w:p>
        </w:tc>
      </w:tr>
    </w:tbl>
    <w:p/>
    <w:p>
      <w:pPr>
        <w:pStyle w:val="Heading2"/>
      </w:pPr>
      <w:r>
        <w:t>Feedback routine</w:t>
      </w:r>
    </w:p>
    <w:p>
      <w:pPr>
        <w:pStyle w:val="ListBullet"/>
      </w:pPr>
      <w:r>
        <w:t>Return students to the precise relevant theory section before giving additional help.</w:t>
      </w:r>
    </w:p>
    <w:p>
      <w:pPr>
        <w:pStyle w:val="ListBullet"/>
      </w:pPr>
      <w:r>
        <w:t>Use the label Appropriate response example; do not provide a teacher answer that can be copied as the student response.</w:t>
      </w:r>
    </w:p>
    <w:p>
      <w:pPr>
        <w:pStyle w:val="ListBullet"/>
      </w:pPr>
      <w:r>
        <w:t>Separate practice autosave from formal submission and current task status.</w:t>
      </w:r>
    </w:p>
    <w:p>
      <w:pPr>
        <w:pStyle w:val="ListBullet"/>
      </w:pPr>
      <w:r>
        <w:t>Record current faculty assessment decisions in the ratified task notice, not by silently changing source history.</w:t>
      </w:r>
    </w:p>
    <w:p>
      <w:r>
        <w:br w:type="page"/>
      </w:r>
    </w:p>
    <w:p>
      <w:pPr>
        <w:pStyle w:val="Heading1"/>
      </w:pPr>
      <w:r>
        <w:t>6. Adjustments, accessibility and extension</w:t>
      </w:r>
    </w:p>
    <w:tbl>
      <w:tblPr>
        <w:tblW w:type="auto" w:w="0"/>
        <w:jc w:val="center"/>
        <w:tblLayout w:type="fixed"/>
        <w:tblLook w:firstColumn="1" w:firstRow="1" w:lastColumn="0" w:lastRow="0" w:noHBand="0" w:noVBand="1" w:val="04A0"/>
      </w:tblPr>
      <w:tblGrid>
        <w:gridCol w:w="2304"/>
        <w:gridCol w:w="7416"/>
        <w:gridCol w:w="5616"/>
      </w:tblGrid>
      <w:tr>
        <w:trPr>
          <w:tblHeader/>
        </w:trPr>
        <w:tc>
          <w:tcPr>
            <w:tcW w:type="dxa" w:w="495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Need</w:t>
            </w:r>
          </w:p>
        </w:tc>
        <w:tc>
          <w:tcPr>
            <w:tcW w:type="dxa" w:w="495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Planned support</w:t>
            </w:r>
          </w:p>
        </w:tc>
        <w:tc>
          <w:tcPr>
            <w:tcW w:type="dxa" w:w="495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Extension without changing the brief</w:t>
            </w:r>
          </w:p>
        </w:tc>
      </w:tr>
      <w:tr>
        <w:tc>
          <w:tcPr>
            <w:tcW w:type="dxa" w:w="2304"/>
            <w:vAlign w:val="center"/>
            <w:tcMar>
              <w:top w:w="80" w:type="dxa"/>
              <w:start w:w="120" w:type="dxa"/>
              <w:bottom w:w="80" w:type="dxa"/>
              <w:end w:w="120" w:type="dxa"/>
            </w:tcMar>
          </w:tcPr>
          <w:p>
            <w:pPr>
              <w:spacing w:after="40" w:line="252" w:lineRule="auto"/>
            </w:pPr>
            <w:r/>
            <w:r>
              <w:rPr>
                <w:rFonts w:ascii="Calibri" w:hAnsi="Calibri"/>
                <w:b w:val="0"/>
                <w:color w:val="10283B"/>
                <w:sz w:val="16"/>
              </w:rPr>
              <w:t>Literacy and language</w:t>
            </w:r>
          </w:p>
        </w:tc>
        <w:tc>
          <w:tcPr>
            <w:tcW w:type="dxa" w:w="7416"/>
            <w:vAlign w:val="center"/>
            <w:tcMar>
              <w:top w:w="80" w:type="dxa"/>
              <w:start w:w="120" w:type="dxa"/>
              <w:bottom w:w="80" w:type="dxa"/>
              <w:end w:w="120" w:type="dxa"/>
            </w:tcMar>
          </w:tcPr>
          <w:p>
            <w:pPr>
              <w:spacing w:after="40" w:line="252" w:lineRule="auto"/>
            </w:pPr>
            <w:r/>
            <w:r>
              <w:rPr>
                <w:rFonts w:ascii="Calibri" w:hAnsi="Calibri"/>
                <w:b w:val="0"/>
                <w:color w:val="10283B"/>
                <w:sz w:val="16"/>
              </w:rPr>
              <w:t>Plain-language “What is this asking?” guide, precise theory-return link, sentence starter and model structure.</w:t>
            </w:r>
          </w:p>
        </w:tc>
        <w:tc>
          <w:tcPr>
            <w:tcW w:type="dxa" w:w="5616"/>
            <w:vAlign w:val="center"/>
            <w:tcMar>
              <w:top w:w="80" w:type="dxa"/>
              <w:start w:w="120" w:type="dxa"/>
              <w:bottom w:w="80" w:type="dxa"/>
              <w:end w:w="120" w:type="dxa"/>
            </w:tcMar>
          </w:tcPr>
          <w:p>
            <w:pPr>
              <w:spacing w:after="40" w:line="252" w:lineRule="auto"/>
            </w:pPr>
            <w:r/>
            <w:r>
              <w:rPr>
                <w:rFonts w:ascii="Calibri" w:hAnsi="Calibri"/>
                <w:b w:val="0"/>
                <w:color w:val="10283B"/>
                <w:sz w:val="16"/>
              </w:rPr>
              <w:t>Require a stronger evidence chain, comparison of alternatives or more precise code trace.</w:t>
            </w:r>
          </w:p>
        </w:tc>
      </w:tr>
      <w:tr>
        <w:tc>
          <w:tcPr>
            <w:tcW w:type="dxa" w:w="2304"/>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Executive function</w:t>
            </w:r>
          </w:p>
        </w:tc>
        <w:tc>
          <w:tcPr>
            <w:tcW w:type="dxa" w:w="7416"/>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One module at a time, visible module contents, autosave, progress, backup and explicit evidence checkpoints.</w:t>
            </w:r>
          </w:p>
        </w:tc>
        <w:tc>
          <w:tcPr>
            <w:tcW w:type="dxa" w:w="5616"/>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Student plans a more efficient test sequence and justifies priorities.</w:t>
            </w:r>
          </w:p>
        </w:tc>
      </w:tr>
      <w:tr>
        <w:tc>
          <w:tcPr>
            <w:tcW w:type="dxa" w:w="2304"/>
            <w:vAlign w:val="center"/>
            <w:tcMar>
              <w:top w:w="80" w:type="dxa"/>
              <w:start w:w="120" w:type="dxa"/>
              <w:bottom w:w="80" w:type="dxa"/>
              <w:end w:w="120" w:type="dxa"/>
            </w:tcMar>
          </w:tcPr>
          <w:p>
            <w:pPr>
              <w:spacing w:after="40" w:line="252" w:lineRule="auto"/>
            </w:pPr>
            <w:r/>
            <w:r>
              <w:rPr>
                <w:rFonts w:ascii="Calibri" w:hAnsi="Calibri"/>
                <w:b w:val="0"/>
                <w:color w:val="10283B"/>
                <w:sz w:val="16"/>
              </w:rPr>
              <w:t>Vision or reading access</w:t>
            </w:r>
          </w:p>
        </w:tc>
        <w:tc>
          <w:tcPr>
            <w:tcW w:type="dxa" w:w="7416"/>
            <w:vAlign w:val="center"/>
            <w:tcMar>
              <w:top w:w="80" w:type="dxa"/>
              <w:start w:w="120" w:type="dxa"/>
              <w:bottom w:w="80" w:type="dxa"/>
              <w:end w:w="120" w:type="dxa"/>
            </w:tcMar>
          </w:tcPr>
          <w:p>
            <w:pPr>
              <w:spacing w:after="40" w:line="252" w:lineRule="auto"/>
            </w:pPr>
            <w:r/>
            <w:r>
              <w:rPr>
                <w:rFonts w:ascii="Calibri" w:hAnsi="Calibri"/>
                <w:b w:val="0"/>
                <w:color w:val="10283B"/>
                <w:sz w:val="16"/>
              </w:rPr>
              <w:t>High contrast, keyboard navigation, text alternatives, open-larger diagrams, responsive layout and printable pages.</w:t>
            </w:r>
          </w:p>
        </w:tc>
        <w:tc>
          <w:tcPr>
            <w:tcW w:type="dxa" w:w="5616"/>
            <w:vAlign w:val="center"/>
            <w:tcMar>
              <w:top w:w="80" w:type="dxa"/>
              <w:start w:w="120" w:type="dxa"/>
              <w:bottom w:w="80" w:type="dxa"/>
              <w:end w:w="120" w:type="dxa"/>
            </w:tcMar>
          </w:tcPr>
          <w:p>
            <w:pPr>
              <w:spacing w:after="40" w:line="252" w:lineRule="auto"/>
            </w:pPr>
            <w:r/>
            <w:r>
              <w:rPr>
                <w:rFonts w:ascii="Calibri" w:hAnsi="Calibri"/>
                <w:b w:val="0"/>
                <w:color w:val="10283B"/>
                <w:sz w:val="16"/>
              </w:rPr>
              <w:t>Student improves diagram annotation and accessible explanation.</w:t>
            </w:r>
          </w:p>
        </w:tc>
      </w:tr>
      <w:tr>
        <w:tc>
          <w:tcPr>
            <w:tcW w:type="dxa" w:w="2304"/>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Coding confidence</w:t>
            </w:r>
          </w:p>
        </w:tc>
        <w:tc>
          <w:tcPr>
            <w:tcW w:type="dxa" w:w="7416"/>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Prediction before upload, dry-run tables, subsystem tests and one-change debugging.</w:t>
            </w:r>
          </w:p>
        </w:tc>
        <w:tc>
          <w:tcPr>
            <w:tcW w:type="dxa" w:w="5616"/>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Student refactors repeated work using arrays, functions and bounded iteration.</w:t>
            </w:r>
          </w:p>
        </w:tc>
      </w:tr>
      <w:tr>
        <w:tc>
          <w:tcPr>
            <w:tcW w:type="dxa" w:w="2304"/>
            <w:vAlign w:val="center"/>
            <w:tcMar>
              <w:top w:w="80" w:type="dxa"/>
              <w:start w:w="120" w:type="dxa"/>
              <w:bottom w:w="80" w:type="dxa"/>
              <w:end w:w="120" w:type="dxa"/>
            </w:tcMar>
          </w:tcPr>
          <w:p>
            <w:pPr>
              <w:spacing w:after="40" w:line="252" w:lineRule="auto"/>
            </w:pPr>
            <w:r/>
            <w:r>
              <w:rPr>
                <w:rFonts w:ascii="Calibri" w:hAnsi="Calibri"/>
                <w:b w:val="0"/>
                <w:color w:val="10283B"/>
                <w:sz w:val="16"/>
              </w:rPr>
              <w:t>Practical access</w:t>
            </w:r>
          </w:p>
        </w:tc>
        <w:tc>
          <w:tcPr>
            <w:tcW w:type="dxa" w:w="7416"/>
            <w:vAlign w:val="center"/>
            <w:tcMar>
              <w:top w:w="80" w:type="dxa"/>
              <w:start w:w="120" w:type="dxa"/>
              <w:bottom w:w="80" w:type="dxa"/>
              <w:end w:w="120" w:type="dxa"/>
            </w:tcMar>
          </w:tcPr>
          <w:p>
            <w:pPr>
              <w:spacing w:after="40" w:line="252" w:lineRule="auto"/>
            </w:pPr>
            <w:r/>
            <w:r>
              <w:rPr>
                <w:rFonts w:ascii="Calibri" w:hAnsi="Calibri"/>
                <w:b w:val="0"/>
                <w:color w:val="10283B"/>
                <w:sz w:val="16"/>
              </w:rPr>
              <w:t>Teacher-confirmed pairing, equipment and timing adjustments; evidence may be separated from physical manipulation where appropriate.</w:t>
            </w:r>
          </w:p>
        </w:tc>
        <w:tc>
          <w:tcPr>
            <w:tcW w:type="dxa" w:w="5616"/>
            <w:vAlign w:val="center"/>
            <w:tcMar>
              <w:top w:w="80" w:type="dxa"/>
              <w:start w:w="120" w:type="dxa"/>
              <w:bottom w:w="80" w:type="dxa"/>
              <w:end w:w="120" w:type="dxa"/>
            </w:tcMar>
          </w:tcPr>
          <w:p>
            <w:pPr>
              <w:spacing w:after="40" w:line="252" w:lineRule="auto"/>
            </w:pPr>
            <w:r/>
            <w:r>
              <w:rPr>
                <w:rFonts w:ascii="Calibri" w:hAnsi="Calibri"/>
                <w:b w:val="0"/>
                <w:color w:val="10283B"/>
                <w:sz w:val="16"/>
              </w:rPr>
              <w:t>Student analyses a second combined-system challenge using the same fixed hardware.</w:t>
            </w:r>
          </w:p>
        </w:tc>
      </w:tr>
    </w:tbl>
    <w:p/>
    <w:p>
      <w:r>
        <w:t>Adjustments must preserve access to the learning intention and be decided in the current school context. Student medical, disability or personal information is not stored in this program or website.</w:t>
      </w:r>
    </w:p>
    <w:p>
      <w:r>
        <w:br w:type="page"/>
      </w:r>
    </w:p>
    <w:p>
      <w:pPr>
        <w:pStyle w:val="Heading1"/>
      </w:pPr>
      <w:r>
        <w:t>7. Safety, equipment and digital responsibility</w:t>
      </w:r>
    </w:p>
    <w:tbl>
      <w:tblPr>
        <w:tblW w:type="auto" w:w="0"/>
        <w:jc w:val="center"/>
        <w:tblLayout w:type="fixed"/>
        <w:tblLook w:firstColumn="1" w:firstRow="1" w:lastColumn="0" w:lastRow="0" w:noHBand="0" w:noVBand="1" w:val="04A0"/>
      </w:tblPr>
      <w:tblGrid>
        <w:gridCol w:w="2232"/>
        <w:gridCol w:w="7200"/>
        <w:gridCol w:w="5904"/>
      </w:tblGrid>
      <w:tr>
        <w:trPr>
          <w:tblHeader/>
        </w:trPr>
        <w:tc>
          <w:tcPr>
            <w:tcW w:type="dxa" w:w="495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Area</w:t>
            </w:r>
          </w:p>
        </w:tc>
        <w:tc>
          <w:tcPr>
            <w:tcW w:type="dxa" w:w="495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Established course boundary</w:t>
            </w:r>
          </w:p>
        </w:tc>
        <w:tc>
          <w:tcPr>
            <w:tcW w:type="dxa" w:w="4959"/>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Teacher to confirm before delivery</w:t>
            </w:r>
          </w:p>
        </w:tc>
      </w:tr>
      <w:tr>
        <w:tc>
          <w:tcPr>
            <w:tcW w:type="dxa" w:w="2232"/>
            <w:vAlign w:val="center"/>
            <w:tcMar>
              <w:top w:w="80" w:type="dxa"/>
              <w:start w:w="120" w:type="dxa"/>
              <w:bottom w:w="80" w:type="dxa"/>
              <w:end w:w="120" w:type="dxa"/>
            </w:tcMar>
          </w:tcPr>
          <w:p>
            <w:pPr>
              <w:spacing w:after="40" w:line="252" w:lineRule="auto"/>
            </w:pPr>
            <w:r/>
            <w:r>
              <w:rPr>
                <w:rFonts w:ascii="Calibri" w:hAnsi="Calibri"/>
                <w:b w:val="0"/>
                <w:color w:val="10283B"/>
                <w:sz w:val="16"/>
              </w:rPr>
              <w:t>Hardware</w:t>
            </w:r>
          </w:p>
        </w:tc>
        <w:tc>
          <w:tcPr>
            <w:tcW w:type="dxa" w:w="7200"/>
            <w:vAlign w:val="center"/>
            <w:tcMar>
              <w:top w:w="80" w:type="dxa"/>
              <w:start w:w="120" w:type="dxa"/>
              <w:bottom w:w="80" w:type="dxa"/>
              <w:end w:w="120" w:type="dxa"/>
            </w:tcMar>
          </w:tcPr>
          <w:p>
            <w:pPr>
              <w:spacing w:after="40" w:line="252" w:lineRule="auto"/>
            </w:pPr>
            <w:r/>
            <w:r>
              <w:rPr>
                <w:rFonts w:ascii="Calibri" w:hAnsi="Calibri"/>
                <w:b w:val="0"/>
                <w:color w:val="10283B"/>
                <w:sz w:val="16"/>
              </w:rPr>
              <w:t>Use the supplied Arduino/ThinkerShield and blue USB cable on a clear stable workspace; pins in code match the fixed board.</w:t>
            </w:r>
          </w:p>
        </w:tc>
        <w:tc>
          <w:tcPr>
            <w:tcW w:type="dxa" w:w="5904"/>
            <w:vAlign w:val="center"/>
            <w:tcMar>
              <w:top w:w="80" w:type="dxa"/>
              <w:start w:w="120" w:type="dxa"/>
              <w:bottom w:w="80" w:type="dxa"/>
              <w:end w:w="120" w:type="dxa"/>
            </w:tcMar>
          </w:tcPr>
          <w:p>
            <w:pPr>
              <w:spacing w:after="40" w:line="252" w:lineRule="auto"/>
            </w:pPr>
            <w:r/>
            <w:r>
              <w:rPr>
                <w:rFonts w:ascii="Calibri" w:hAnsi="Calibri"/>
                <w:b w:val="0"/>
                <w:color w:val="10283B"/>
                <w:sz w:val="16"/>
              </w:rPr>
              <w:t>Equipment condition, damaged-item procedure, power and connection routine, storage and supervision.</w:t>
            </w:r>
          </w:p>
        </w:tc>
      </w:tr>
      <w:tr>
        <w:tc>
          <w:tcPr>
            <w:tcW w:type="dxa" w:w="2232"/>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Sound output</w:t>
            </w:r>
          </w:p>
        </w:tc>
        <w:tc>
          <w:tcPr>
            <w:tcW w:type="dxa" w:w="7200"/>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The buzzer is on pin 3; code explicitly starts and stops tones.</w:t>
            </w:r>
          </w:p>
        </w:tc>
        <w:tc>
          <w:tcPr>
            <w:tcW w:type="dxa" w:w="5904"/>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Acceptable classroom test frequency, duration, volume and sequence.</w:t>
            </w:r>
          </w:p>
        </w:tc>
      </w:tr>
      <w:tr>
        <w:tc>
          <w:tcPr>
            <w:tcW w:type="dxa" w:w="2232"/>
            <w:vAlign w:val="center"/>
            <w:tcMar>
              <w:top w:w="80" w:type="dxa"/>
              <w:start w:w="120" w:type="dxa"/>
              <w:bottom w:w="80" w:type="dxa"/>
              <w:end w:w="120" w:type="dxa"/>
            </w:tcMar>
          </w:tcPr>
          <w:p>
            <w:pPr>
              <w:spacing w:after="40" w:line="252" w:lineRule="auto"/>
            </w:pPr>
            <w:r/>
            <w:r>
              <w:rPr>
                <w:rFonts w:ascii="Calibri" w:hAnsi="Calibri"/>
                <w:b w:val="0"/>
                <w:color w:val="10283B"/>
                <w:sz w:val="16"/>
              </w:rPr>
              <w:t>Practical lesson</w:t>
            </w:r>
          </w:p>
        </w:tc>
        <w:tc>
          <w:tcPr>
            <w:tcW w:type="dxa" w:w="7200"/>
            <w:vAlign w:val="center"/>
            <w:tcMar>
              <w:top w:w="80" w:type="dxa"/>
              <w:start w:w="120" w:type="dxa"/>
              <w:bottom w:w="80" w:type="dxa"/>
              <w:end w:w="120" w:type="dxa"/>
            </w:tcMar>
          </w:tcPr>
          <w:p>
            <w:pPr>
              <w:spacing w:after="40" w:line="252" w:lineRule="auto"/>
            </w:pPr>
            <w:r/>
            <w:r>
              <w:rPr>
                <w:rFonts w:ascii="Calibri" w:hAnsi="Calibri"/>
                <w:b w:val="0"/>
                <w:color w:val="10283B"/>
                <w:sz w:val="16"/>
              </w:rPr>
              <w:t>Students predict, verify, upload, observe and record under teacher direction.</w:t>
            </w:r>
          </w:p>
        </w:tc>
        <w:tc>
          <w:tcPr>
            <w:tcW w:type="dxa" w:w="5904"/>
            <w:vAlign w:val="center"/>
            <w:tcMar>
              <w:top w:w="80" w:type="dxa"/>
              <w:start w:w="120" w:type="dxa"/>
              <w:bottom w:w="80" w:type="dxa"/>
              <w:end w:w="120" w:type="dxa"/>
            </w:tcMar>
          </w:tcPr>
          <w:p>
            <w:pPr>
              <w:spacing w:after="40" w:line="252" w:lineRule="auto"/>
            </w:pPr>
            <w:r/>
            <w:r>
              <w:rPr>
                <w:rFonts w:ascii="Calibri" w:hAnsi="Calibri"/>
                <w:b w:val="0"/>
                <w:color w:val="10283B"/>
                <w:sz w:val="16"/>
              </w:rPr>
              <w:t>Room-specific risk controls, movement, shared equipment, emergency and first-aid processes.</w:t>
            </w:r>
          </w:p>
        </w:tc>
      </w:tr>
      <w:tr>
        <w:tc>
          <w:tcPr>
            <w:tcW w:type="dxa" w:w="2232"/>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Digital files</w:t>
            </w:r>
          </w:p>
        </w:tc>
        <w:tc>
          <w:tcPr>
            <w:tcW w:type="dxa" w:w="7200"/>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Students keep named versions and a backup; website storage is device-local practice only.</w:t>
            </w:r>
          </w:p>
        </w:tc>
        <w:tc>
          <w:tcPr>
            <w:tcW w:type="dxa" w:w="5904"/>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Authorised Drive location, file naming, sharing, collaboration, source acknowledgement and Classroom turn-in.</w:t>
            </w:r>
          </w:p>
        </w:tc>
      </w:tr>
      <w:tr>
        <w:tc>
          <w:tcPr>
            <w:tcW w:type="dxa" w:w="2232"/>
            <w:vAlign w:val="center"/>
            <w:tcMar>
              <w:top w:w="80" w:type="dxa"/>
              <w:start w:w="120" w:type="dxa"/>
              <w:bottom w:w="80" w:type="dxa"/>
              <w:end w:w="120" w:type="dxa"/>
            </w:tcMar>
          </w:tcPr>
          <w:p>
            <w:pPr>
              <w:spacing w:after="40" w:line="252" w:lineRule="auto"/>
            </w:pPr>
            <w:r/>
            <w:r>
              <w:rPr>
                <w:rFonts w:ascii="Calibri" w:hAnsi="Calibri"/>
                <w:b w:val="0"/>
                <w:color w:val="10283B"/>
                <w:sz w:val="16"/>
              </w:rPr>
              <w:t>Privacy</w:t>
            </w:r>
          </w:p>
        </w:tc>
        <w:tc>
          <w:tcPr>
            <w:tcW w:type="dxa" w:w="7200"/>
            <w:vAlign w:val="center"/>
            <w:tcMar>
              <w:top w:w="80" w:type="dxa"/>
              <w:start w:w="120" w:type="dxa"/>
              <w:bottom w:w="80" w:type="dxa"/>
              <w:end w:w="120" w:type="dxa"/>
            </w:tcMar>
          </w:tcPr>
          <w:p>
            <w:pPr>
              <w:spacing w:after="40" w:line="252" w:lineRule="auto"/>
            </w:pPr>
            <w:r/>
            <w:r>
              <w:rPr>
                <w:rFonts w:ascii="Calibri" w:hAnsi="Calibri"/>
                <w:b w:val="0"/>
                <w:color w:val="10283B"/>
                <w:sz w:val="16"/>
              </w:rPr>
              <w:t>No student submissions, names, grades or private photographs are embedded in the published course.</w:t>
            </w:r>
          </w:p>
        </w:tc>
        <w:tc>
          <w:tcPr>
            <w:tcW w:type="dxa" w:w="5904"/>
            <w:vAlign w:val="center"/>
            <w:tcMar>
              <w:top w:w="80" w:type="dxa"/>
              <w:start w:w="120" w:type="dxa"/>
              <w:bottom w:w="80" w:type="dxa"/>
              <w:end w:w="120" w:type="dxa"/>
            </w:tcMar>
          </w:tcPr>
          <w:p>
            <w:pPr>
              <w:spacing w:after="40" w:line="252" w:lineRule="auto"/>
            </w:pPr>
            <w:r/>
            <w:r>
              <w:rPr>
                <w:rFonts w:ascii="Calibri" w:hAnsi="Calibri"/>
                <w:b w:val="0"/>
                <w:color w:val="10283B"/>
                <w:sz w:val="16"/>
              </w:rPr>
              <w:t>Any student media collection, consent, storage, access and deletion process.</w:t>
            </w:r>
          </w:p>
        </w:tc>
      </w:tr>
    </w:tbl>
    <w:p/>
    <w:p>
      <w:r>
        <w:br w:type="page"/>
      </w:r>
    </w:p>
    <w:p>
      <w:pPr>
        <w:pStyle w:val="Heading1"/>
      </w:pPr>
      <w:r>
        <w:t>8. Resources, preparation and source ledger</w:t>
      </w:r>
    </w:p>
    <w:p>
      <w:pPr>
        <w:pStyle w:val="Heading2"/>
      </w:pPr>
      <w:r>
        <w:t>Core resources</w:t>
      </w:r>
    </w:p>
    <w:p>
      <w:pPr>
        <w:pStyle w:val="ListBullet"/>
      </w:pPr>
      <w:r>
        <w:t>Crack the Code course website and ten module presentations.</w:t>
      </w:r>
    </w:p>
    <w:p>
      <w:pPr>
        <w:pStyle w:val="ListBullet"/>
      </w:pPr>
      <w:r>
        <w:t>Arduino-compatible microcontroller, ThinkerShield, blue USB cable and teacher-approved computers/software.</w:t>
      </w:r>
    </w:p>
    <w:p>
      <w:pPr>
        <w:pStyle w:val="ListBullet"/>
      </w:pPr>
      <w:r>
        <w:t>Authorised Classroom activity instructions, activity book and source code documents.</w:t>
      </w:r>
    </w:p>
    <w:p>
      <w:pPr>
        <w:pStyle w:val="ListBullet"/>
      </w:pPr>
      <w:r>
        <w:t>Teacher-confirmed storage, backup and submission locations.</w:t>
      </w:r>
    </w:p>
    <w:p>
      <w:pPr>
        <w:pStyle w:val="Heading2"/>
      </w:pPr>
      <w:r>
        <w:t>Authoritative sources</w:t>
      </w:r>
    </w:p>
    <w:tbl>
      <w:tblPr>
        <w:tblW w:type="auto" w:w="0"/>
        <w:jc w:val="center"/>
        <w:tblLayout w:type="fixed"/>
        <w:tblLook w:firstColumn="1" w:firstRow="1" w:lastColumn="0" w:lastRow="0" w:noHBand="0" w:noVBand="1" w:val="04A0"/>
      </w:tblPr>
      <w:tblGrid>
        <w:gridCol w:w="6120"/>
        <w:gridCol w:w="9216"/>
      </w:tblGrid>
      <w:tr>
        <w:trPr>
          <w:tblHeader/>
        </w:trPr>
        <w:tc>
          <w:tcPr>
            <w:tcW w:type="dxa" w:w="7438"/>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Source</w:t>
            </w:r>
          </w:p>
        </w:tc>
        <w:tc>
          <w:tcPr>
            <w:tcW w:type="dxa" w:w="7438"/>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Use in this program</w:t>
            </w:r>
          </w:p>
        </w:tc>
      </w:tr>
      <w:tr>
        <w:tc>
          <w:tcPr>
            <w:tcW w:type="dxa" w:w="6120"/>
            <w:vAlign w:val="center"/>
            <w:tcMar>
              <w:top w:w="80" w:type="dxa"/>
              <w:start w:w="120" w:type="dxa"/>
              <w:bottom w:w="80" w:type="dxa"/>
              <w:end w:w="120" w:type="dxa"/>
            </w:tcMar>
          </w:tcPr>
          <w:p>
            <w:pPr>
              <w:spacing w:after="40" w:line="252" w:lineRule="auto"/>
            </w:pPr>
            <w:r/>
            <w:r>
              <w:rPr>
                <w:rFonts w:ascii="Calibri" w:hAnsi="Calibri"/>
                <w:b w:val="0"/>
                <w:color w:val="10283B"/>
                <w:sz w:val="16"/>
              </w:rPr>
              <w:t>Archived 2025 Crack the Code Google Classroom classwork and teacher-master Drive folder</w:t>
            </w:r>
          </w:p>
        </w:tc>
        <w:tc>
          <w:tcPr>
            <w:tcW w:type="dxa" w:w="9216"/>
            <w:vAlign w:val="center"/>
            <w:tcMar>
              <w:top w:w="80" w:type="dxa"/>
              <w:start w:w="120" w:type="dxa"/>
              <w:bottom w:w="80" w:type="dxa"/>
              <w:end w:w="120" w:type="dxa"/>
            </w:tcMar>
          </w:tcPr>
          <w:p>
            <w:pPr>
              <w:spacing w:after="40" w:line="252" w:lineRule="auto"/>
            </w:pPr>
            <w:r/>
            <w:r>
              <w:rPr>
                <w:rFonts w:ascii="Calibri" w:hAnsi="Calibri"/>
                <w:b w:val="0"/>
                <w:color w:val="10283B"/>
                <w:sz w:val="16"/>
              </w:rPr>
              <w:t>Activity names, order, hardware map, coding pathway and final alarm challenge.</w:t>
            </w:r>
          </w:p>
        </w:tc>
      </w:tr>
      <w:tr>
        <w:tc>
          <w:tcPr>
            <w:tcW w:type="dxa" w:w="6120"/>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NESA Technology 7–8 Syllabus (2023) overview, outcomes and glossary</w:t>
            </w:r>
          </w:p>
        </w:tc>
        <w:tc>
          <w:tcPr>
            <w:tcW w:type="dxa" w:w="9216"/>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Implementation boundary, Stage 4 outcome wording and current branching definition.</w:t>
            </w:r>
          </w:p>
        </w:tc>
      </w:tr>
      <w:tr>
        <w:tc>
          <w:tcPr>
            <w:tcW w:type="dxa" w:w="6120"/>
            <w:vAlign w:val="center"/>
            <w:tcMar>
              <w:top w:w="80" w:type="dxa"/>
              <w:start w:w="120" w:type="dxa"/>
              <w:bottom w:w="80" w:type="dxa"/>
              <w:end w:w="120" w:type="dxa"/>
            </w:tcMar>
          </w:tcPr>
          <w:p>
            <w:pPr>
              <w:spacing w:after="40" w:line="252" w:lineRule="auto"/>
            </w:pPr>
            <w:r/>
            <w:r>
              <w:rPr>
                <w:rFonts w:ascii="Calibri" w:hAnsi="Calibri"/>
                <w:b w:val="0"/>
                <w:color w:val="10283B"/>
                <w:sz w:val="16"/>
              </w:rPr>
              <w:t>Teacher confirmation before implementation</w:t>
            </w:r>
          </w:p>
        </w:tc>
        <w:tc>
          <w:tcPr>
            <w:tcW w:type="dxa" w:w="9216"/>
            <w:vAlign w:val="center"/>
            <w:tcMar>
              <w:top w:w="80" w:type="dxa"/>
              <w:start w:w="120" w:type="dxa"/>
              <w:bottom w:w="80" w:type="dxa"/>
              <w:end w:w="120" w:type="dxa"/>
            </w:tcMar>
          </w:tcPr>
          <w:p>
            <w:pPr>
              <w:spacing w:after="40" w:line="252" w:lineRule="auto"/>
            </w:pPr>
            <w:r/>
            <w:r>
              <w:rPr>
                <w:rFonts w:ascii="Calibri" w:hAnsi="Calibri"/>
                <w:b w:val="0"/>
                <w:color w:val="10283B"/>
                <w:sz w:val="16"/>
              </w:rPr>
              <w:t>Dates, marks, rubric, lesson allocation, equipment access, supervision, risk controls and formal submission.</w:t>
            </w:r>
          </w:p>
        </w:tc>
      </w:tr>
    </w:tbl>
    <w:p/>
    <w:p>
      <w:pPr>
        <w:pStyle w:val="Heading2"/>
      </w:pPr>
      <w:r>
        <w:t>Review and sign-off</w:t>
      </w:r>
    </w:p>
    <w:tbl>
      <w:tblPr>
        <w:tblW w:type="auto" w:w="0"/>
        <w:jc w:val="center"/>
        <w:tblLayout w:type="fixed"/>
        <w:tblLook w:firstColumn="1" w:firstRow="1" w:lastColumn="0" w:lastRow="0" w:noHBand="0" w:noVBand="1" w:val="04A0"/>
      </w:tblPr>
      <w:tblGrid>
        <w:gridCol w:w="4608"/>
        <w:gridCol w:w="10728"/>
      </w:tblGrid>
      <w:tr>
        <w:trPr>
          <w:tblHeader/>
        </w:trPr>
        <w:tc>
          <w:tcPr>
            <w:tcW w:type="dxa" w:w="7438"/>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Review item</w:t>
            </w:r>
          </w:p>
        </w:tc>
        <w:tc>
          <w:tcPr>
            <w:tcW w:type="dxa" w:w="7438"/>
            <w:vAlign w:val="center"/>
            <w:tcMar>
              <w:top w:w="80" w:type="dxa"/>
              <w:start w:w="120" w:type="dxa"/>
              <w:bottom w:w="80" w:type="dxa"/>
              <w:end w:w="120" w:type="dxa"/>
            </w:tcMar>
            <w:shd w:fill="071A2B"/>
          </w:tcPr>
          <w:p>
            <w:pPr>
              <w:spacing w:after="40" w:line="252" w:lineRule="auto"/>
            </w:pPr>
            <w:r/>
            <w:r>
              <w:rPr>
                <w:rFonts w:ascii="Calibri" w:hAnsi="Calibri"/>
                <w:b/>
                <w:color w:val="FFFFFF"/>
                <w:sz w:val="16"/>
              </w:rPr>
              <w:t>Name / decision / date</w:t>
            </w:r>
          </w:p>
        </w:tc>
      </w:tr>
      <w:tr>
        <w:tc>
          <w:tcPr>
            <w:tcW w:type="dxa" w:w="4608"/>
            <w:vAlign w:val="center"/>
            <w:tcMar>
              <w:top w:w="80" w:type="dxa"/>
              <w:start w:w="120" w:type="dxa"/>
              <w:bottom w:w="80" w:type="dxa"/>
              <w:end w:w="120" w:type="dxa"/>
            </w:tcMar>
          </w:tcPr>
          <w:p>
            <w:pPr>
              <w:spacing w:after="40" w:line="252" w:lineRule="auto"/>
            </w:pPr>
            <w:r/>
            <w:r>
              <w:rPr>
                <w:rFonts w:ascii="Calibri" w:hAnsi="Calibri"/>
                <w:b w:val="0"/>
                <w:color w:val="10283B"/>
                <w:sz w:val="16"/>
              </w:rPr>
              <w:t>Faculty review</w:t>
            </w:r>
          </w:p>
        </w:tc>
        <w:tc>
          <w:tcPr>
            <w:tcW w:type="dxa" w:w="10728"/>
            <w:vAlign w:val="center"/>
            <w:tcMar>
              <w:top w:w="80" w:type="dxa"/>
              <w:start w:w="120" w:type="dxa"/>
              <w:bottom w:w="80" w:type="dxa"/>
              <w:end w:w="120" w:type="dxa"/>
            </w:tcMar>
          </w:tcPr>
          <w:p>
            <w:pPr>
              <w:spacing w:after="40" w:line="252" w:lineRule="auto"/>
            </w:pPr>
            <w:r/>
            <w:r>
              <w:rPr>
                <w:rFonts w:ascii="Calibri" w:hAnsi="Calibri"/>
                <w:b w:val="0"/>
                <w:color w:val="10283B"/>
                <w:sz w:val="16"/>
              </w:rPr>
            </w:r>
          </w:p>
        </w:tc>
      </w:tr>
      <w:tr>
        <w:tc>
          <w:tcPr>
            <w:tcW w:type="dxa" w:w="4608"/>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Current assessment status</w:t>
            </w:r>
          </w:p>
        </w:tc>
        <w:tc>
          <w:tcPr>
            <w:tcW w:type="dxa" w:w="10728"/>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Teacher to confirm</w:t>
            </w:r>
          </w:p>
        </w:tc>
      </w:tr>
      <w:tr>
        <w:tc>
          <w:tcPr>
            <w:tcW w:type="dxa" w:w="4608"/>
            <w:vAlign w:val="center"/>
            <w:tcMar>
              <w:top w:w="80" w:type="dxa"/>
              <w:start w:w="120" w:type="dxa"/>
              <w:bottom w:w="80" w:type="dxa"/>
              <w:end w:w="120" w:type="dxa"/>
            </w:tcMar>
          </w:tcPr>
          <w:p>
            <w:pPr>
              <w:spacing w:after="40" w:line="252" w:lineRule="auto"/>
            </w:pPr>
            <w:r/>
            <w:r>
              <w:rPr>
                <w:rFonts w:ascii="Calibri" w:hAnsi="Calibri"/>
                <w:b w:val="0"/>
                <w:color w:val="10283B"/>
                <w:sz w:val="16"/>
              </w:rPr>
              <w:t>Risk and equipment review</w:t>
            </w:r>
          </w:p>
        </w:tc>
        <w:tc>
          <w:tcPr>
            <w:tcW w:type="dxa" w:w="10728"/>
            <w:vAlign w:val="center"/>
            <w:tcMar>
              <w:top w:w="80" w:type="dxa"/>
              <w:start w:w="120" w:type="dxa"/>
              <w:bottom w:w="80" w:type="dxa"/>
              <w:end w:w="120" w:type="dxa"/>
            </w:tcMar>
          </w:tcPr>
          <w:p>
            <w:pPr>
              <w:spacing w:after="40" w:line="252" w:lineRule="auto"/>
            </w:pPr>
            <w:r/>
            <w:r>
              <w:rPr>
                <w:rFonts w:ascii="Calibri" w:hAnsi="Calibri"/>
                <w:b w:val="0"/>
                <w:color w:val="10283B"/>
                <w:sz w:val="16"/>
              </w:rPr>
              <w:t>Teacher to confirm</w:t>
            </w:r>
          </w:p>
        </w:tc>
      </w:tr>
      <w:tr>
        <w:tc>
          <w:tcPr>
            <w:tcW w:type="dxa" w:w="4608"/>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Lesson allocation</w:t>
            </w:r>
          </w:p>
        </w:tc>
        <w:tc>
          <w:tcPr>
            <w:tcW w:type="dxa" w:w="10728"/>
            <w:vAlign w:val="center"/>
            <w:tcMar>
              <w:top w:w="80" w:type="dxa"/>
              <w:start w:w="120" w:type="dxa"/>
              <w:bottom w:w="80" w:type="dxa"/>
              <w:end w:w="120" w:type="dxa"/>
            </w:tcMar>
            <w:shd w:fill="F5F9FC"/>
          </w:tcPr>
          <w:p>
            <w:pPr>
              <w:spacing w:after="40" w:line="252" w:lineRule="auto"/>
            </w:pPr>
            <w:r/>
            <w:r>
              <w:rPr>
                <w:rFonts w:ascii="Calibri" w:hAnsi="Calibri"/>
                <w:b w:val="0"/>
                <w:color w:val="10283B"/>
                <w:sz w:val="16"/>
              </w:rPr>
              <w:t>Teacher to confirm</w:t>
            </w:r>
          </w:p>
        </w:tc>
      </w:tr>
      <w:tr>
        <w:tc>
          <w:tcPr>
            <w:tcW w:type="dxa" w:w="4608"/>
            <w:vAlign w:val="center"/>
            <w:tcMar>
              <w:top w:w="80" w:type="dxa"/>
              <w:start w:w="120" w:type="dxa"/>
              <w:bottom w:w="80" w:type="dxa"/>
              <w:end w:w="120" w:type="dxa"/>
            </w:tcMar>
          </w:tcPr>
          <w:p>
            <w:pPr>
              <w:spacing w:after="40" w:line="252" w:lineRule="auto"/>
            </w:pPr>
            <w:r/>
            <w:r>
              <w:rPr>
                <w:rFonts w:ascii="Calibri" w:hAnsi="Calibri"/>
                <w:b w:val="0"/>
                <w:color w:val="10283B"/>
                <w:sz w:val="16"/>
              </w:rPr>
              <w:t>Submission and storage process</w:t>
            </w:r>
          </w:p>
        </w:tc>
        <w:tc>
          <w:tcPr>
            <w:tcW w:type="dxa" w:w="10728"/>
            <w:vAlign w:val="center"/>
            <w:tcMar>
              <w:top w:w="80" w:type="dxa"/>
              <w:start w:w="120" w:type="dxa"/>
              <w:bottom w:w="80" w:type="dxa"/>
              <w:end w:w="120" w:type="dxa"/>
            </w:tcMar>
          </w:tcPr>
          <w:p>
            <w:pPr>
              <w:spacing w:after="40" w:line="252" w:lineRule="auto"/>
            </w:pPr>
            <w:r/>
            <w:r>
              <w:rPr>
                <w:rFonts w:ascii="Calibri" w:hAnsi="Calibri"/>
                <w:b w:val="0"/>
                <w:color w:val="10283B"/>
                <w:sz w:val="16"/>
              </w:rPr>
              <w:t>Teacher to confirm</w:t>
            </w:r>
          </w:p>
        </w:tc>
      </w:tr>
    </w:tbl>
    <w:p/>
    <w:sectPr w:rsidR="00FC693F" w:rsidRPr="0006063C" w:rsidSect="00034616">
      <w:headerReference w:type="default" r:id="rId9"/>
      <w:footerReference w:type="default" r:id="rId10"/>
      <w:pgSz w:w="16834" w:h="11909" w:orient="landscape"/>
      <w:pgMar w:top="893" w:right="979" w:bottom="893" w:left="979"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Teacher program  |  August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0B6076"/>
        <w:sz w:val="16"/>
      </w:rPr>
      <w:t>CRACK THE CODE  |  YEAR 7–8 TECHNOLOGY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028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71A2B"/>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B6076"/>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607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071A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