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1F6A51"/>
          <w:sz w:val="17"/>
        </w:rPr>
        <w:t>SCHOOL-DEVELOPED AND NESA-ALIGNED - NOT NESA-APPROVED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174D3D"/>
          <w:sz w:val="34"/>
        </w:rPr>
        <w:t>Year 9 Food Selection and Health - Teacher Program</w:t>
      </w:r>
    </w:p>
    <w:p>
      <w:pPr>
        <w:keepNext/>
        <w:spacing w:before="0" w:after="80" w:line="240" w:lineRule="auto"/>
      </w:pPr>
      <w:r>
        <w:rPr>
          <w:rFonts w:ascii="Calibri" w:hAnsi="Calibri"/>
          <w:b w:val="0"/>
          <w:i w:val="0"/>
          <w:color w:val="5A6862"/>
          <w:sz w:val="21"/>
        </w:rPr>
        <w:t>Food Technology 7-10 | Focus area: Food selection for nutrition and health | Version 1.0.0</w:t>
      </w:r>
    </w:p>
    <w:tbl>
      <w:tblPr>
        <w:tblW w:type="dxa" w:w="157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7B8B0"/>
          <w:left w:val="single" w:sz="4" w:space="0" w:color="A7B8B0"/>
          <w:bottom w:val="single" w:sz="4" w:space="0" w:color="A7B8B0"/>
          <w:right w:val="single" w:sz="4" w:space="0" w:color="A7B8B0"/>
          <w:insideH w:val="single" w:sz="4" w:space="0" w:color="A7B8B0"/>
          <w:insideV w:val="single" w:sz="4" w:space="0" w:color="A7B8B0"/>
        </w:tblBorders>
      </w:tblPr>
      <w:tblGrid>
        <w:gridCol w:w="1580"/>
        <w:gridCol w:w="6300"/>
        <w:gridCol w:w="1580"/>
        <w:gridCol w:w="6300"/>
      </w:tblGrid>
      <w:tr>
        <w:trPr>
          <w:cantSplit/>
          <w:tblHeader w:val="true"/>
        </w:trPr>
        <w:tc>
          <w:tcPr>
            <w:tcW w:type="dxa" w:w="1580"/>
            <w:vAlign w:val="center"/>
            <w:shd w:fill="1F6A51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Course</w:t>
            </w:r>
          </w:p>
        </w:tc>
        <w:tc>
          <w:tcPr>
            <w:tcW w:type="dxa" w:w="6300"/>
            <w:vAlign w:val="center"/>
            <w:shd w:fill="E7F2EC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Year 9 Food Technology focus-area unit</w:t>
            </w:r>
          </w:p>
        </w:tc>
        <w:tc>
          <w:tcPr>
            <w:tcW w:type="dxa" w:w="1580"/>
            <w:vAlign w:val="center"/>
            <w:shd w:fill="1F6A51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Cohort</w:t>
            </w:r>
          </w:p>
        </w:tc>
        <w:tc>
          <w:tcPr>
            <w:tcW w:type="dxa" w:w="6300"/>
            <w:vAlign w:val="center"/>
            <w:shd w:fill="E7F2EC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Year 9</w:t>
            </w:r>
          </w:p>
        </w:tc>
      </w:tr>
      <w:tr>
        <w:trPr>
          <w:cantSplit/>
        </w:trPr>
        <w:tc>
          <w:tcPr>
            <w:tcW w:type="dxa" w:w="1580"/>
            <w:vAlign w:val="center"/>
            <w:shd w:fill="1F6A51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Syllabus</w:t>
            </w:r>
          </w:p>
        </w:tc>
        <w:tc>
          <w:tcPr>
            <w:tcW w:type="dxa" w:w="6300"/>
            <w:vAlign w:val="center"/>
            <w:shd w:fill="FFFFFF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NSW Food Technology 7-10 Syllabus (2025)</w:t>
            </w:r>
          </w:p>
        </w:tc>
        <w:tc>
          <w:tcPr>
            <w:tcW w:type="dxa" w:w="1580"/>
            <w:vAlign w:val="center"/>
            <w:shd w:fill="1F6A51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Implementation</w:t>
            </w:r>
          </w:p>
        </w:tc>
        <w:tc>
          <w:tcPr>
            <w:tcW w:type="dxa" w:w="6300"/>
            <w:vAlign w:val="center"/>
            <w:shd w:fill="FFFFFF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Mandatory Year 9 from 2028; 2026-27 local early use Teacher to confirm</w:t>
            </w:r>
          </w:p>
        </w:tc>
      </w:tr>
      <w:tr>
        <w:trPr>
          <w:cantSplit/>
        </w:trPr>
        <w:tc>
          <w:tcPr>
            <w:tcW w:type="dxa" w:w="1580"/>
            <w:vAlign w:val="center"/>
            <w:shd w:fill="1F6A51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Sequence</w:t>
            </w:r>
          </w:p>
        </w:tc>
        <w:tc>
          <w:tcPr>
            <w:tcW w:type="dxa" w:w="6300"/>
            <w:vAlign w:val="center"/>
            <w:shd w:fill="E7F2EC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20 periods | 6 modules | 18 sections | 180 MCQs | 18 long responses</w:t>
            </w:r>
          </w:p>
        </w:tc>
        <w:tc>
          <w:tcPr>
            <w:tcW w:type="dxa" w:w="1580"/>
            <w:vAlign w:val="center"/>
            <w:shd w:fill="1F6A51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6300"/>
            <w:vAlign w:val="center"/>
            <w:shd w:fill="E7F2EC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60 minutes per period and local timetable Teacher to confirm</w:t>
            </w:r>
          </w:p>
        </w:tc>
      </w:tr>
      <w:tr>
        <w:trPr>
          <w:cantSplit/>
        </w:trPr>
        <w:tc>
          <w:tcPr>
            <w:tcW w:type="dxa" w:w="1580"/>
            <w:vAlign w:val="center"/>
            <w:shd w:fill="1F6A51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Issue/state</w:t>
            </w:r>
          </w:p>
        </w:tc>
        <w:tc>
          <w:tcPr>
            <w:tcW w:type="dxa" w:w="6300"/>
            <w:vAlign w:val="center"/>
            <w:shd w:fill="FFFFFF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v1.0.0 | local program candidate | uncommitted, unpushed and undeployed</w:t>
            </w:r>
          </w:p>
        </w:tc>
        <w:tc>
          <w:tcPr>
            <w:tcW w:type="dxa" w:w="1580"/>
            <w:vAlign w:val="center"/>
            <w:shd w:fill="1F6A51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Balance</w:t>
            </w:r>
          </w:p>
        </w:tc>
        <w:tc>
          <w:tcPr>
            <w:tcW w:type="dxa" w:w="6300"/>
            <w:vAlign w:val="center"/>
            <w:shd w:fill="FFFFFF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9 Site/theory | 6 Project/folio | 5 Practical; practical details Teacher to confirm</w:t>
            </w:r>
          </w:p>
        </w:tc>
      </w:tr>
    </w:tbl>
    <w:p>
      <w:pPr>
        <w:keepNext w:val="0"/>
        <w:spacing w:before="60" w:after="40" w:line="240" w:lineRule="auto"/>
      </w:pPr>
      <w:r>
        <w:rPr>
          <w:rFonts w:ascii="Calibri" w:hAnsi="Calibri"/>
          <w:b/>
          <w:i w:val="0"/>
          <w:color w:val="1F6A51"/>
          <w:sz w:val="18"/>
        </w:rPr>
        <w:t xml:space="preserve">Authority boundary: </w:t>
      </w:r>
      <w:r>
        <w:rPr>
          <w:rFonts w:ascii="Calibri" w:hAnsi="Calibri"/>
          <w:b w:val="0"/>
          <w:i w:val="0"/>
          <w:color w:val="24312C"/>
          <w:sz w:val="18"/>
        </w:rPr>
        <w:t>This program is a concise teaching map of the integrated local website. It does not authorise practical work, replace current WHS directions, confirm a timetable, or approve the conflicted HelloEats task. This eleven-week focus-area unit is not a complete 100-hour or 200-hour elective.</w:t>
      </w:r>
    </w:p>
    <w:p>
      <w:pPr>
        <w:keepNext/>
        <w:spacing w:before="60" w:after="20" w:line="240" w:lineRule="auto"/>
      </w:pPr>
      <w:r>
        <w:rPr>
          <w:rFonts w:ascii="Calibri" w:hAnsi="Calibri"/>
          <w:b/>
          <w:i w:val="0"/>
          <w:color w:val="1F6A51"/>
          <w:sz w:val="23"/>
        </w:rPr>
        <w:t>Official Stage 5 outcomes - Food Technology 7-10 (2025)</w:t>
      </w:r>
    </w:p>
    <w:tbl>
      <w:tblPr>
        <w:tblW w:type="dxa" w:w="157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7B8B0"/>
          <w:left w:val="single" w:sz="4" w:space="0" w:color="A7B8B0"/>
          <w:bottom w:val="single" w:sz="4" w:space="0" w:color="A7B8B0"/>
          <w:right w:val="single" w:sz="4" w:space="0" w:color="A7B8B0"/>
          <w:insideH w:val="single" w:sz="4" w:space="0" w:color="A7B8B0"/>
          <w:insideV w:val="single" w:sz="4" w:space="0" w:color="A7B8B0"/>
        </w:tblBorders>
      </w:tblPr>
      <w:tblGrid>
        <w:gridCol w:w="1750"/>
        <w:gridCol w:w="14010"/>
      </w:tblGrid>
      <w:tr>
        <w:trPr>
          <w:tblHeader w:val="true"/>
        </w:trPr>
        <w:tc>
          <w:tcPr>
            <w:tcW w:type="dxa" w:w="1750"/>
            <w:vAlign w:val="center"/>
            <w:shd w:fill="1F6A51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14010"/>
            <w:vAlign w:val="center"/>
            <w:shd w:fill="1F6A51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Exact official statement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E7F2EC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D3D"/>
                <w:sz w:val="18"/>
              </w:rPr>
              <w:t>FT5-SAF-01</w:t>
            </w:r>
          </w:p>
        </w:tc>
        <w:tc>
          <w:tcPr>
            <w:tcW w:type="dxa" w:w="14010"/>
            <w:vAlign w:val="center"/>
            <w:shd w:fill="E7F2EC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applies safe work and management practices through food design and production processes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D3D"/>
                <w:sz w:val="18"/>
              </w:rPr>
              <w:t>FT5-COM-01</w:t>
            </w:r>
          </w:p>
        </w:tc>
        <w:tc>
          <w:tcPr>
            <w:tcW w:type="dxa" w:w="14010"/>
            <w:vAlign w:val="center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communicates ideas, concepts and solutions in food design and production contexts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E7F2EC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D3D"/>
                <w:sz w:val="18"/>
              </w:rPr>
              <w:t>FT5-FPP-01</w:t>
            </w:r>
          </w:p>
        </w:tc>
        <w:tc>
          <w:tcPr>
            <w:tcW w:type="dxa" w:w="14010"/>
            <w:vAlign w:val="center"/>
            <w:shd w:fill="E7F2EC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selects and justifies the use of food preparation and presentation practices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D3D"/>
                <w:sz w:val="18"/>
              </w:rPr>
              <w:t>FT5-USE-01</w:t>
            </w:r>
          </w:p>
        </w:tc>
        <w:tc>
          <w:tcPr>
            <w:tcW w:type="dxa" w:w="14010"/>
            <w:vAlign w:val="center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selects and applies ingredients, techniques and equipment in food design and production contexts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E7F2EC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D3D"/>
                <w:sz w:val="18"/>
              </w:rPr>
              <w:t>FT5-IET-01</w:t>
            </w:r>
          </w:p>
        </w:tc>
        <w:tc>
          <w:tcPr>
            <w:tcW w:type="dxa" w:w="14010"/>
            <w:vAlign w:val="center"/>
            <w:shd w:fill="E7F2EC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explains industry practices and emerging technologies used in food design and production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D3D"/>
                <w:sz w:val="18"/>
              </w:rPr>
              <w:t>FT5-NSA-01</w:t>
            </w:r>
          </w:p>
        </w:tc>
        <w:tc>
          <w:tcPr>
            <w:tcW w:type="dxa" w:w="14010"/>
            <w:vAlign w:val="center"/>
            <w:shd w:fill="FFFFFF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assesses how nutrition, food selection and availability influence individuals and communities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E7F2EC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D3D"/>
                <w:sz w:val="18"/>
              </w:rPr>
              <w:t>FT5-ENV-01</w:t>
            </w:r>
          </w:p>
        </w:tc>
        <w:tc>
          <w:tcPr>
            <w:tcW w:type="dxa" w:w="14010"/>
            <w:vAlign w:val="center"/>
            <w:shd w:fill="E7F2EC"/>
            <w:tcMar>
              <w:top w:w="42" w:type="dxa"/>
              <w:start w:w="100" w:type="dxa"/>
              <w:bottom w:w="42" w:type="dxa"/>
              <w:end w:w="10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8"/>
              </w:rPr>
              <w:t>analyses relationships between food production systems, sustainability and society</w:t>
            </w:r>
          </w:p>
        </w:tc>
      </w:tr>
    </w:tbl>
    <w:p>
      <w:pPr>
        <w:keepNext/>
        <w:spacing w:before="60" w:after="10" w:line="240" w:lineRule="auto"/>
      </w:pPr>
      <w:r>
        <w:rPr>
          <w:rFonts w:ascii="Calibri" w:hAnsi="Calibri"/>
          <w:b/>
          <w:i w:val="0"/>
          <w:color w:val="1F6A51"/>
          <w:sz w:val="23"/>
        </w:rPr>
        <w:t>Teacher to confirm before classroom use</w:t>
      </w:r>
    </w:p>
    <w:p>
      <w:pPr>
        <w:pStyle w:val="ListBullet"/>
        <w:keepNext w:val="0"/>
        <w:spacing w:before="0" w:after="20" w:line="240" w:lineRule="auto"/>
        <w:ind w:left="346" w:hanging="173"/>
      </w:pPr>
      <w:r>
        <w:rPr>
          <w:rFonts w:ascii="Calibri" w:hAnsi="Calibri"/>
          <w:b w:val="0"/>
          <w:i w:val="0"/>
          <w:color w:val="24312C"/>
          <w:sz w:val="17"/>
        </w:rPr>
        <w:t>Delivery year and the WWHS decision to use the 2025 syllabus before mandatory Year 9 implementation in 2028.</w:t>
      </w:r>
    </w:p>
    <w:p>
      <w:pPr>
        <w:pStyle w:val="ListBullet"/>
        <w:keepNext w:val="0"/>
        <w:spacing w:before="0" w:after="20" w:line="240" w:lineRule="auto"/>
        <w:ind w:left="346" w:hanging="173"/>
      </w:pPr>
      <w:r>
        <w:rPr>
          <w:rFonts w:ascii="Calibri" w:hAnsi="Calibri"/>
          <w:b w:val="0"/>
          <w:i w:val="0"/>
          <w:color w:val="24312C"/>
          <w:sz w:val="17"/>
        </w:rPr>
        <w:t>Local timetable, period length and placement of this adaptable 20-period sequence.</w:t>
      </w:r>
    </w:p>
    <w:p>
      <w:pPr>
        <w:pStyle w:val="ListBullet"/>
        <w:keepNext w:val="0"/>
        <w:spacing w:before="0" w:after="20" w:line="240" w:lineRule="auto"/>
        <w:ind w:left="346" w:hanging="173"/>
      </w:pPr>
      <w:r>
        <w:rPr>
          <w:rFonts w:ascii="Calibri" w:hAnsi="Calibri"/>
          <w:b w:val="0"/>
          <w:i w:val="0"/>
          <w:color w:val="24312C"/>
          <w:sz w:val="17"/>
        </w:rPr>
        <w:t>Approved practical activities/recipes, ingredients, allergens, equipment, PPE, facilities, supervision, risk controls, ordering and clean-down.</w:t>
      </w:r>
    </w:p>
    <w:p>
      <w:pPr>
        <w:pStyle w:val="ListBullet"/>
        <w:keepNext w:val="0"/>
        <w:spacing w:before="0" w:after="20" w:line="240" w:lineRule="auto"/>
        <w:ind w:left="346" w:hanging="173"/>
      </w:pPr>
      <w:r>
        <w:rPr>
          <w:rFonts w:ascii="Calibri" w:hAnsi="Calibri"/>
          <w:b w:val="0"/>
          <w:i w:val="0"/>
          <w:color w:val="24312C"/>
          <w:sz w:val="17"/>
        </w:rPr>
        <w:t>Whole-course context and how other focus areas and the practical-majority requirement are met.</w:t>
      </w:r>
    </w:p>
    <w:p>
      <w:pPr>
        <w:keepNext w:val="0"/>
        <w:spacing w:before="40" w:after="0" w:line="240" w:lineRule="auto"/>
      </w:pPr>
      <w:r>
        <w:rPr>
          <w:rFonts w:ascii="Calibri" w:hAnsi="Calibri"/>
          <w:b/>
          <w:i w:val="0"/>
          <w:color w:val="1F6A51"/>
          <w:sz w:val="17"/>
        </w:rPr>
        <w:t xml:space="preserve">Assessment boundary: </w:t>
      </w:r>
      <w:r>
        <w:rPr>
          <w:rFonts w:ascii="Calibri" w:hAnsi="Calibri"/>
          <w:b w:val="0"/>
          <w:i w:val="0"/>
          <w:color w:val="24312C"/>
          <w:sz w:val="17"/>
        </w:rPr>
        <w:t>The published 2026 handbook lists Class Practicals ongoing 60%, Assignment Term 1 Week 10 20%, and Yearly Examination Term 4 Week 3 20%. The attached HelloEats notice conflicts with the handbook and remains a draft learning context; task number, timing, 2025-outcome alignment, name, criteria and submission are Teacher to confirm. See assessment.html and the official handbook hub.</w:t>
      </w:r>
    </w:p>
    <w:p>
      <w:pPr>
        <w:keepNext w:val="0"/>
        <w:spacing w:before="20" w:after="0" w:line="240" w:lineRule="auto"/>
      </w:pPr>
      <w:r>
        <w:rPr>
          <w:rFonts w:ascii="Calibri" w:hAnsi="Calibri"/>
          <w:b w:val="0"/>
          <w:i w:val="0"/>
          <w:color w:val="5A6862"/>
          <w:sz w:val="15"/>
        </w:rPr>
        <w:t>Official sources: https://curriculum.nsw.edu.au/learning-areas/tas/food-technology-7-10-2025/outcomes | https://education.nsw.gov.au/teaching-and-learning/curriculum/tas/leading-tas-7-12/food-technology-7-10-2025-syllabus-information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174D3D"/>
          <w:sz w:val="26"/>
        </w:rPr>
        <w:t>Teaching sequence - periods 1-10</w:t>
      </w:r>
    </w:p>
    <w:p>
      <w:pPr>
        <w:keepNext/>
        <w:spacing w:before="0" w:after="60" w:line="240" w:lineRule="auto"/>
      </w:pPr>
      <w:r>
        <w:rPr>
          <w:rFonts w:ascii="Calibri" w:hAnsi="Calibri"/>
          <w:b w:val="0"/>
          <w:i w:val="0"/>
          <w:color w:val="5A6862"/>
          <w:sz w:val="17"/>
        </w:rPr>
        <w:t>Planned sequence only. Local dates, 60-minute duration and all practical activities/recipes remain Teacher to confirm. Website work saves locally and is not a submission system.</w:t>
      </w:r>
    </w:p>
    <w:tbl>
      <w:tblPr>
        <w:tblW w:type="dxa" w:w="157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7B8B0"/>
          <w:left w:val="single" w:sz="4" w:space="0" w:color="A7B8B0"/>
          <w:bottom w:val="single" w:sz="4" w:space="0" w:color="A7B8B0"/>
          <w:right w:val="single" w:sz="4" w:space="0" w:color="A7B8B0"/>
          <w:insideH w:val="single" w:sz="4" w:space="0" w:color="A7B8B0"/>
          <w:insideV w:val="single" w:sz="4" w:space="0" w:color="A7B8B0"/>
        </w:tblBorders>
      </w:tblPr>
      <w:tblGrid>
        <w:gridCol w:w="430"/>
        <w:gridCol w:w="1300"/>
        <w:gridCol w:w="2050"/>
        <w:gridCol w:w="4410"/>
        <w:gridCol w:w="3260"/>
        <w:gridCol w:w="4310"/>
      </w:tblGrid>
      <w:tr>
        <w:trPr>
          <w:tblHeader w:val="true"/>
        </w:trPr>
        <w:tc>
          <w:tcPr>
            <w:tcW w:type="dxa" w:w="43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0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5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41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26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431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</w:t>
            </w:r>
          </w:p>
        </w:tc>
        <w:tc>
          <w:tcPr>
            <w:tcW w:type="dxa" w:w="1300"/>
            <w:vAlign w:val="center"/>
            <w:shd w:fill="E8EEF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Site/theory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M1.1 Personal hygiene and readiness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'Contamination-chain photo audit' and Package 1.1. Begin with the Module 1 deck.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Safe personal preparation and hygiene in food design and production.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'M1.1 Readiness control plan'. FT5-SAF-01, FT5-COM-01, FT5-FPP-01, FT5-USE-01.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2</w:t>
            </w:r>
          </w:p>
        </w:tc>
        <w:tc>
          <w:tcPr>
            <w:tcW w:type="dxa" w:w="1300"/>
            <w:vAlign w:val="center"/>
            <w:shd w:fill="FBE7E1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M1.2 Contamination, temperature and food safety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'Bench-route control challenge' and Package 1.2. Practical only with a teacher-approved activity/recipe and current controls (TTC-P).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Food hazards and controls: contamination pathways, time and temperature.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'M1.2 Hazard-route plan'. FT5-SAF-01, FT5-COM-01, FT5-FPP-01, FT5-USE-01.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3</w:t>
            </w:r>
          </w:p>
        </w:tc>
        <w:tc>
          <w:tcPr>
            <w:tcW w:type="dxa" w:w="1300"/>
            <w:vAlign w:val="center"/>
            <w:shd w:fill="E8EEF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Site/theory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M1.3 Safe decisions and incident response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'First-action decision carousel' and Package 1.3. Finish with the three-link module review. Use the matching puzzle for retrieval/repair.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Safe work decisions used to identify, report and respond to hazards.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'M1.3 Near-miss redesign'. FT5-SAF-01, FT5-COM-01, FT5-FPP-01, FT5-USE-01.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4</w:t>
            </w:r>
          </w:p>
        </w:tc>
        <w:tc>
          <w:tcPr>
            <w:tcW w:type="dxa" w:w="1300"/>
            <w:vAlign w:val="center"/>
            <w:shd w:fill="E8EEF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Site/theory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M2.1 Six nutrients and their roles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'More than one nutrient' and Package 2.1. Begin with the Module 2 deck.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Nutrient characteristics, functions and contributions within varied food patterns.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'M2.1 Nutrient-team lunch'. FT5-NSA-01, FT5-COM-01, FT5-IET-01.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5</w:t>
            </w:r>
          </w:p>
        </w:tc>
        <w:tc>
          <w:tcPr>
            <w:tcW w:type="dxa" w:w="1300"/>
            <w:vAlign w:val="center"/>
            <w:shd w:fill="FFF4D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M2.2 Energy, growth and repair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'Same energy, different contribution' and Package 2.2.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Energy, growth, repair, nutrient density and food-selection context.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'M2.2 Context-based meal decision'. FT5-NSA-01, FT5-COM-01, FT5-IET-01.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6</w:t>
            </w:r>
          </w:p>
        </w:tc>
        <w:tc>
          <w:tcPr>
            <w:tcW w:type="dxa" w:w="1300"/>
            <w:vAlign w:val="center"/>
            <w:shd w:fill="FBE7E1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M2.3 Digestion and nutrient absorption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'Digestive journey relay' and Package 2.3. Finish with the three-link module review. Practical only with a teacher-approved activity/recipe and current controls (TTC-P). Use the matching puzzle for retrieval/repair.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How digestion and absorption make nutrients available to the body.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'M2.3 Journey of a mixed meal'. FT5-NSA-01, FT5-COM-01, FT5-IET-01.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7</w:t>
            </w:r>
          </w:p>
        </w:tc>
        <w:tc>
          <w:tcPr>
            <w:tcW w:type="dxa" w:w="1300"/>
            <w:vAlign w:val="center"/>
            <w:shd w:fill="E8EEF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Site/theory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M3.1 Ingredients, servings and nutrition panels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'Three-pass label scan' and Package 3.1. Begin with the Module 3 deck.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Australian label evidence: ingredients, allergens, serves and nutrition panels.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'M3.1 Label evidence pathway'. FT5-NSA-01, FT5-COM-01, FT5-IET-01, FT5-ENV-01.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8</w:t>
            </w:r>
          </w:p>
        </w:tc>
        <w:tc>
          <w:tcPr>
            <w:tcW w:type="dxa" w:w="1300"/>
            <w:vAlign w:val="center"/>
            <w:shd w:fill="FFF4D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M3.2 Comparing foods fairly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'Comparison referee' and Package 3.2.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Fair comparison of like products using consistent units, purpose and evidence.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'M3.2 Fair food comparison'. FT5-NSA-01, FT5-COM-01, FT5-IET-01, FT5-ENV-01.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9</w:t>
            </w:r>
          </w:p>
        </w:tc>
        <w:tc>
          <w:tcPr>
            <w:tcW w:type="dxa" w:w="1300"/>
            <w:vAlign w:val="center"/>
            <w:shd w:fill="E8EEF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Site/theory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M3.3 Marketing claims, ethics and health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'Thirty-second impression reset' and Package 3.3. Finish with the three-link module review. Use the matching puzzle for retrieval/repair.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Marketing, claims and ethical responsibilities in food-selection decisions.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'M3.3 Claim-evidence-omission audit'. FT5-NSA-01, FT5-COM-01, FT5-IET-01, FT5-ENV-01.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10</w:t>
            </w:r>
          </w:p>
        </w:tc>
        <w:tc>
          <w:tcPr>
            <w:tcW w:type="dxa" w:w="1300"/>
            <w:vAlign w:val="center"/>
            <w:shd w:fill="E8EEF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Site/theory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M4.1 Active non-nutrients and food variety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'Variety evidence sort' and Package 4.1. Begin with the Module 4 deck.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Active non-nutrients, water, fibre, variety and food selection.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'Food-choice reasoning'. FT5-NSA-01, FT5-IET-01, FT5-COM-01, FT5-ENV-01.</w:t>
            </w:r>
          </w:p>
        </w:tc>
      </w:tr>
    </w:tbl>
    <w:p>
      <w:pPr>
        <w:keepNext w:val="0"/>
        <w:spacing w:before="40" w:after="0" w:line="240" w:lineRule="auto"/>
      </w:pPr>
      <w:r>
        <w:rPr>
          <w:rFonts w:ascii="Calibri" w:hAnsi="Calibri"/>
          <w:b/>
          <w:i w:val="0"/>
          <w:color w:val="1F6A51"/>
          <w:sz w:val="17"/>
        </w:rPr>
        <w:t xml:space="preserve">Evidence, feedback and support: </w:t>
      </w:r>
      <w:r>
        <w:rPr>
          <w:rFonts w:ascii="Calibri" w:hAnsi="Calibri"/>
          <w:b w:val="0"/>
          <w:i w:val="0"/>
          <w:color w:val="24312C"/>
          <w:sz w:val="17"/>
        </w:rPr>
        <w:t>Each section has 10 feedback-rich MCQs, one scaffolded long response, an Applied Learning Activity, a visual, a media/equivalent pathway and a named folio handoff. Use vocabulary banks, chunking, sentence stems and accessible response modes without lowering the evidence demand. Full routes, sources, adjustments and cross-links are retained in the machine manifest and site map.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174D3D"/>
          <w:sz w:val="26"/>
        </w:rPr>
        <w:t>Teaching sequence - periods 11-20</w:t>
      </w:r>
    </w:p>
    <w:p>
      <w:pPr>
        <w:keepNext/>
        <w:spacing w:before="0" w:after="60" w:line="240" w:lineRule="auto"/>
      </w:pPr>
      <w:r>
        <w:rPr>
          <w:rFonts w:ascii="Calibri" w:hAnsi="Calibri"/>
          <w:b w:val="0"/>
          <w:i w:val="0"/>
          <w:color w:val="5A6862"/>
          <w:sz w:val="17"/>
        </w:rPr>
        <w:t>Planned sequence only. Local dates, 60-minute duration and all practical activities/recipes remain Teacher to confirm. Website work saves locally and is not a submission system.</w:t>
      </w:r>
    </w:p>
    <w:tbl>
      <w:tblPr>
        <w:tblW w:type="dxa" w:w="157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7B8B0"/>
          <w:left w:val="single" w:sz="4" w:space="0" w:color="A7B8B0"/>
          <w:bottom w:val="single" w:sz="4" w:space="0" w:color="A7B8B0"/>
          <w:right w:val="single" w:sz="4" w:space="0" w:color="A7B8B0"/>
          <w:insideH w:val="single" w:sz="4" w:space="0" w:color="A7B8B0"/>
          <w:insideV w:val="single" w:sz="4" w:space="0" w:color="A7B8B0"/>
        </w:tblBorders>
      </w:tblPr>
      <w:tblGrid>
        <w:gridCol w:w="430"/>
        <w:gridCol w:w="1300"/>
        <w:gridCol w:w="2050"/>
        <w:gridCol w:w="4410"/>
        <w:gridCol w:w="3260"/>
        <w:gridCol w:w="4310"/>
      </w:tblGrid>
      <w:tr>
        <w:trPr>
          <w:tblHeader w:val="true"/>
        </w:trPr>
        <w:tc>
          <w:tcPr>
            <w:tcW w:type="dxa" w:w="43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30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5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41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26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4310"/>
            <w:vAlign w:val="center"/>
            <w:shd w:fill="1F6A5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11</w:t>
            </w:r>
          </w:p>
        </w:tc>
        <w:tc>
          <w:tcPr>
            <w:tcW w:type="dxa" w:w="1300"/>
            <w:vAlign w:val="center"/>
            <w:shd w:fill="FBE7E1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M4.2 Nutrition across the lifecycle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'Lifecycle meal adaptation studio' and Package 4.2. Practical only with a teacher-approved activity/recipe and current controls (TTC-P).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Changing nutritional needs and food-selection priorities across life stages.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'User needs and constraints'. FT5-NSA-01, FT5-IET-01, FT5-COM-01, FT5-ENV-01.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12</w:t>
            </w:r>
          </w:p>
        </w:tc>
        <w:tc>
          <w:tcPr>
            <w:tcW w:type="dxa" w:w="1300"/>
            <w:vAlign w:val="center"/>
            <w:shd w:fill="FFF4D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M4.3 Personal, social, cultural and digital influences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'Influence detective' and Package 4.3. Finish with the three-link module review. Use the matching puzzle for retrieval/repair.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Personal, social, cultural, economic and digital influences on selection.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'Influences on selection'. FT5-NSA-01, FT5-IET-01, FT5-COM-01, FT5-ENV-01.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13</w:t>
            </w:r>
          </w:p>
        </w:tc>
        <w:tc>
          <w:tcPr>
            <w:tcW w:type="dxa" w:w="1300"/>
            <w:vAlign w:val="center"/>
            <w:shd w:fill="E8EEF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Site/theory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M5.1 Australian food-consumption patterns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'Pattern claim clinic' and Package 5.1. Begin with the Module 5 deck.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Responsible interpretation of Australian food-consumption evidence.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'Using population evidence'. FT5-IET-01, FT5-NSA-01, FT5-ENV-01, FT5-FPP-01, FT5-COM-01.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14</w:t>
            </w:r>
          </w:p>
        </w:tc>
        <w:tc>
          <w:tcPr>
            <w:tcW w:type="dxa" w:w="1300"/>
            <w:vAlign w:val="center"/>
            <w:shd w:fill="FBE7E1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M5.2 Convenience, delivery and food technology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'Convenience system map' and Package 5.2. Practical only with a teacher-approved activity/recipe and current controls (TTC-P).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Industry practices and technologies affecting access, safety, quality and trade-offs.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'Technology and trade-offs'. FT5-IET-01, FT5-NSA-01, FT5-ENV-01, FT5-FPP-01, FT5-COM-01.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15</w:t>
            </w:r>
          </w:p>
        </w:tc>
        <w:tc>
          <w:tcPr>
            <w:tcW w:type="dxa" w:w="1300"/>
            <w:vAlign w:val="center"/>
            <w:shd w:fill="FFF4D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M5.3 Designing responsible food solutions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'Design decision matrix sprint' and Package 5.3. Finish with the three-link module review.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Food-design processes: need, criteria, solution, justification and evaluation.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'Responsible food design'. FT5-IET-01, FT5-NSA-01, FT5-ENV-01, FT5-FPP-01, FT5-COM-01.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16</w:t>
            </w:r>
          </w:p>
        </w:tc>
        <w:tc>
          <w:tcPr>
            <w:tcW w:type="dxa" w:w="1300"/>
            <w:vAlign w:val="center"/>
            <w:shd w:fill="E8EEF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Site/theory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M6.1 Under- and overnutrition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'Pattern-mechanism-support triads' and Package 6.1. Begin with the Module 6 deck.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Undernutrition and overnutrition explained without judgement or diagnosis.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'Nutrition patterns and support'. FT5-NSA-01, FT5-COM-01, FT5-FPP-01, FT5-ENV-01, FT5-SAF-01.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17</w:t>
            </w:r>
          </w:p>
        </w:tc>
        <w:tc>
          <w:tcPr>
            <w:tcW w:type="dxa" w:w="1300"/>
            <w:vAlign w:val="center"/>
            <w:shd w:fill="E8EEF5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Site/theory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M6.2 Nutrition-related conditions and prevention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'Mechanism and claim clinic' and Package 6.2.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Food patterns, multiple risk factors, conditions and proportionate prevention.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'Nutrition-related conditions'. FT5-NSA-01, FT5-COM-01, FT5-FPP-01, FT5-ENV-01, FT5-SAF-01.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18</w:t>
            </w:r>
          </w:p>
        </w:tc>
        <w:tc>
          <w:tcPr>
            <w:tcW w:type="dxa" w:w="1300"/>
            <w:vAlign w:val="center"/>
            <w:shd w:fill="FFF4D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M6.3 Australian guidance and the HelloEats challenge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Use the section visual and media/equivalent. Complete 'Draft HelloEats evidence sprint' and Package 6.3. Finish with the three-link module review. Use the matching puzzle for retrieval/repair.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Australian guidance and label evidence used to justify a food-design concept.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10 MCQs + feedback; one scaffolded response; save 'Draft HelloEats concept'. FT5-NSA-01, FT5-COM-01, FT5-FPP-01, FT5-ENV-01, FT5-SAF-01.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19</w:t>
            </w:r>
          </w:p>
        </w:tc>
        <w:tc>
          <w:tcPr>
            <w:tcW w:type="dxa" w:w="1300"/>
            <w:vAlign w:val="center"/>
            <w:shd w:fill="FBE7E1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Teacher-approved food-solution application</w:t>
            </w:r>
          </w:p>
        </w:tc>
        <w:tc>
          <w:tcPr>
            <w:tcW w:type="dxa" w:w="44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If locally approved, produce or test one food solution under current room directions. Use the Module 5 design evidence and Module 6 guidance. Recipe, ingredients, equipment, PPE, allergens, facilities, supervision and risk controls are Teacher to confirm.</w:t>
            </w:r>
          </w:p>
        </w:tc>
        <w:tc>
          <w:tcPr>
            <w:tcW w:type="dxa" w:w="326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Application and evaluation of safe food-design and production practices in a locally authorised context.</w:t>
            </w:r>
          </w:p>
        </w:tc>
        <w:tc>
          <w:tcPr>
            <w:tcW w:type="dxa" w:w="4310"/>
            <w:vAlign w:val="center"/>
            <w:shd w:fill="F7FAF8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Teacher observation if approved; design criteria, production decisions and evaluation evidence. Formal assessment use remains Teacher to confirm.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4312C"/>
                <w:sz w:val="19"/>
              </w:rPr>
              <w:t>20</w:t>
            </w:r>
          </w:p>
        </w:tc>
        <w:tc>
          <w:tcPr>
            <w:tcW w:type="dxa" w:w="1300"/>
            <w:vAlign w:val="center"/>
            <w:shd w:fill="FFF4D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Project/folio</w:t>
            </w:r>
          </w:p>
        </w:tc>
        <w:tc>
          <w:tcPr>
            <w:tcW w:type="dxa" w:w="205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D3D"/>
                <w:sz w:val="19"/>
              </w:rPr>
              <w:t>Course synthesis, review and evidence export</w:t>
            </w:r>
          </w:p>
        </w:tc>
        <w:tc>
          <w:tcPr>
            <w:tcW w:type="dxa" w:w="44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Review completion across all six modules, 18 packages and eight folio stages. Students evaluate one changed decision, identify evidence limits, export their local folio and check the assessment-status boundary.</w:t>
            </w:r>
          </w:p>
        </w:tc>
        <w:tc>
          <w:tcPr>
            <w:tcW w:type="dxa" w:w="326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Communication and evaluation of evidence-based food-selection and food-design decisions.</w:t>
            </w:r>
          </w:p>
        </w:tc>
        <w:tc>
          <w:tcPr>
            <w:tcW w:type="dxa" w:w="4310"/>
            <w:vAlign w:val="center"/>
            <w:shd w:fill="FFFFFF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12C"/>
                <w:sz w:val="19"/>
              </w:rPr>
              <w:t>Final synthesis/evaluation, local folio export and teacher review of named evidence. No website submission claim.</w:t>
            </w:r>
          </w:p>
        </w:tc>
      </w:tr>
    </w:tbl>
    <w:p>
      <w:pPr>
        <w:keepNext w:val="0"/>
        <w:spacing w:before="40" w:after="0" w:line="240" w:lineRule="auto"/>
      </w:pPr>
      <w:r>
        <w:rPr>
          <w:rFonts w:ascii="Calibri" w:hAnsi="Calibri"/>
          <w:b/>
          <w:i w:val="0"/>
          <w:color w:val="1F6A51"/>
          <w:sz w:val="17"/>
        </w:rPr>
        <w:t xml:space="preserve">Evidence, feedback and support: </w:t>
      </w:r>
      <w:r>
        <w:rPr>
          <w:rFonts w:ascii="Calibri" w:hAnsi="Calibri"/>
          <w:b w:val="0"/>
          <w:i w:val="0"/>
          <w:color w:val="24312C"/>
          <w:sz w:val="17"/>
        </w:rPr>
        <w:t>Each section has 10 feedback-rich MCQs, one scaffolded long response, an Applied Learning Activity, a visual, a media/equivalent pathway and a named folio handoff. Use vocabulary banks, chunking, sentence stems and accessible response modes without lowering the evidence demand. Full routes, sources, adjustments and cross-links are retained in the machine manifest and site map.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397" w:right="454" w:bottom="397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862"/>
        <w:sz w:val="17"/>
      </w:rPr>
      <w:t xml:space="preserve">Page </w:t>
    </w:r>
    <w:fldSimple w:instr="PAGE"/>
    <w:r>
      <w:rPr>
        <w:rFonts w:ascii="Calibri" w:hAnsi="Calibri"/>
        <w:b w:val="0"/>
        <w:i w:val="0"/>
        <w:color w:val="5A6862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center"/>
    </w:pPr>
    <w:r>
      <w:rPr>
        <w:rFonts w:ascii="Calibri" w:hAnsi="Calibri"/>
        <w:b/>
        <w:i w:val="0"/>
        <w:color w:val="5A6862"/>
        <w:sz w:val="17"/>
      </w:rPr>
      <w:t>Year 9 Food Selection and Health - Teacher Program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1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4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Food Selection and Health - Teacher Program v1.0.0</dc:title>
  <dc:subject>School-developed, NESA-aligned teacher program</dc:subject>
  <dc:creator>WWHS TAS Faculty</dc:creator>
  <cp:keywords>Food Technology, Year 9, teacher program, NESA aligned</cp:keywords>
  <dc:description>Compact reference guide preset; A4 landscape course-program override; expected 3 pages.</dc:description>
  <cp:lastModifiedBy/>
  <cp:revision>1</cp:revision>
  <dcterms:created xsi:type="dcterms:W3CDTF">2026-08-28T00:00:00Z</dcterms:created>
  <dcterms:modified xsi:type="dcterms:W3CDTF">2026-08-28T00:00:00Z</dcterms:modified>
  <cp:category/>
</cp:coreProperties>
</file>