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Folding Chair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folding chair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58 named theory sections, 10 quiz/check sets (120 questions) and 40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the project brief; Reading the working drawings accurately. Weeks 1-2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How the folding mechanism and hardware work; Design criteria, sketches and justified decisions. Weeks 1-2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Datums, face side, face edge and accurate mark-out; Matching and mirrored chair components. Weeks 1-2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From working drawing to cutting list; Selecting timber and recognising distortion. Weeks 3-4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Dressing timber with the FEWTEL sequence; How a mortise-and-tenon joint works. Weeks 3-4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Hollow-chisel mortiser: setup, operation and test fitting. Weeks 3-4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How the bandsaw cuts—and why setup matters; Planning curved cuts, relief cuts and paired components. Weeks 5-6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 bandsaw SOP from pre-start to shutdown; Refining mortise-and-tenon fit without creating a loose joint. Weeks 5-6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Quality gates prevent cumulative error. Weeks 5-6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Locate hole centres from datums—not from the shape; Produce a perpendicular, clean and controlled hole. Weeks 7-8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Countersinking mirrored components correctly; How the pivot hardware stack controls movement. Weeks 7-8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Dry assembly is a diagnostic test—not a ceremonial step; Work Method Statement versus Standard Operating Procedure. Weeks 7-8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criteria turn preference into a defensible decision; Structural, mechanical and ergonomic design zones. Weeks 9-10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a decision matrix—but do not let the numbers think for you; Orthogonal projection separates shape into aligned views. Weeks 9-10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Line types, dimensions and notes carry different information; CAD improves revision—but it cannot detect a confident wrong number. Weeks 9-10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order is a design decision; Adhesive selection and the conditions for a strong bond. Weeks 11-12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Clamp pressure must close the joint without distorting it; Costing converts quantities into evidence. Weeks 11-12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Dependencies determine what can happen next; Hold points protect the project from rushed rework. Weeks 11-12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Inspect before sanding; Abrasive grit, scratch pattern and sanding direction. Weeks 13-14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a finish for the chair’s use—not simply its colour; Coating, drying, curing and de-nibbing. Weeks 13-14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Finish defects are symptoms with causes; Industry quality is built into the process. Weeks 13-14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 labels communicate immediate hazard information; A Safety Data Sheet answers different questions in different sections. Weeks 15-16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the hierarchy of controls before relying on PPE; Polishing and maintenance must be compatible with the finish. Weeks 15-16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Sustainability includes material, process and service life; Life-cycle thinking reveals trade-offs. Weeks 15-16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Build an evidence chain from brief to finished chair; A caption should make the evidence interpretable. Weeks 17-18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Evaluation is a judgement supported by evidence; Retrieval practice and interleaving build usable knowledge. Weeks 17-18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Command words determine the depth of the answer; Integrated answers connect stages of the project. Weeks 17-18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 systematic final inspection follows the chair from structure to surface; Correct the cause, not only the symptom. Weeks 19-20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Cleaning, maintenance and repair are different responsibilities; Final submission is a quality-assurance task. Weeks 19-20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Reflection asks what happened, why and what changes next; Care of the finished folding chair. Weeks 19-20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FOLDING CHAIR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Folding Chair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