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10372B"/>
          <w:sz w:val="48"/>
        </w:rPr>
        <w:t>Folding Chair - Stage 5 Timber Program</w:t>
      </w:r>
    </w:p>
    <w:p>
      <w:pPr>
        <w:spacing w:after="200"/>
      </w:pPr>
      <w:r>
        <w:rPr>
          <w:rFonts w:ascii="Calibri" w:hAnsi="Calibri"/>
          <w:b w:val="0"/>
          <w:i/>
          <w:color w:val="5E6B65"/>
          <w:sz w:val="24"/>
        </w:rPr>
        <w:t>New-syllabus local school addition | twenty-week Year 10 developing option</w:t>
      </w:r>
    </w:p>
    <w:tbl>
      <w:tblPr>
        <w:tblW w:type="dxa" w:w="14513"/>
        <w:jc w:val="center"/>
        <w:tblLayout w:type="fixed"/>
        <w:tblLook w:firstColumn="1" w:firstRow="1" w:lastColumn="0" w:lastRow="0" w:noHBand="0" w:noVBand="1" w:val="04A0"/>
        <w:tblInd w:w="120" w:type="dxa"/>
      </w:tblPr>
      <w:tblGrid>
        <w:gridCol w:w="14513"/>
      </w:tblGrid>
      <w:tr>
        <w:tc>
          <w:tcPr>
            <w:tcW w:type="dxa" w:w="14513"/>
            <w:tcMar>
              <w:top w:w="80" w:type="dxa"/>
              <w:start w:w="120" w:type="dxa"/>
              <w:bottom w:w="80" w:type="dxa"/>
              <w:end w:w="120" w:type="dxa"/>
            </w:tcMar>
            <w:shd w:fill="FFF3D6"/>
            <w:vAlign w:val="center"/>
          </w:tcPr>
          <w:p>
            <w:pPr>
              <w:spacing w:before="0" w:after="40" w:line="240" w:lineRule="auto"/>
            </w:pPr>
            <w:r/>
            <w:r>
              <w:rPr>
                <w:rFonts w:ascii="Calibri" w:hAnsi="Calibri"/>
                <w:b/>
                <w:i w:val="0"/>
                <w:color w:val="10372B"/>
                <w:sz w:val="19"/>
              </w:rPr>
              <w:t>Status</w:t>
            </w:r>
          </w:p>
          <w:p>
            <w:pPr>
              <w:spacing w:before="0" w:after="40" w:line="240" w:lineRule="auto"/>
            </w:pPr>
            <w:r>
              <w:rPr>
                <w:rFonts w:ascii="Calibri" w:hAnsi="Calibri"/>
                <w:b w:val="0"/>
                <w:i w:val="0"/>
                <w:color w:val="10372B"/>
                <w:sz w:val="19"/>
              </w:rPr>
              <w:t>This program is a provisional/developing local option built from the verified Folding Chair guided course. It was not named in the supplied 2025 master Timber program.</w:t>
            </w:r>
          </w:p>
        </w:tc>
      </w:tr>
    </w:tbl>
    <w:p>
      <w:pPr>
        <w:spacing w:after="40"/>
      </w:pPr>
    </w:p>
    <w:tbl>
      <w:tblPr>
        <w:tblW w:type="dxa" w:w="14513"/>
        <w:jc w:val="center"/>
        <w:tblLayout w:type="fixed"/>
        <w:tblLook w:firstColumn="1" w:firstRow="1" w:lastColumn="0" w:lastRow="0" w:noHBand="0" w:noVBand="1" w:val="04A0"/>
        <w:tblInd w:w="120" w:type="dxa"/>
      </w:tblPr>
      <w:tblGrid>
        <w:gridCol w:w="2381"/>
        <w:gridCol w:w="12132"/>
      </w:tblGrid>
      <w:tr>
        <w:tc>
          <w:tcPr>
            <w:tcW w:type="dxa" w:w="2381"/>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8"/>
              </w:rPr>
              <w:t>Indicative placement</w:t>
            </w:r>
          </w:p>
        </w:tc>
        <w:tc>
          <w:tcPr>
            <w:tcW w:type="dxa" w:w="12132"/>
            <w:tcMar>
              <w:top w:w="80" w:type="dxa"/>
              <w:start w:w="120" w:type="dxa"/>
              <w:bottom w:w="80" w:type="dxa"/>
              <w:end w:w="120" w:type="dxa"/>
            </w:tcMar>
            <w:shd w:fill="F7F2E8"/>
            <w:vAlign w:val="center"/>
          </w:tcPr>
          <w:p>
            <w:pPr>
              <w:spacing w:before="0" w:after="40" w:line="240" w:lineRule="auto"/>
            </w:pPr>
            <w:r/>
            <w:r>
              <w:rPr>
                <w:rFonts w:ascii="Calibri" w:hAnsi="Calibri"/>
                <w:b w:val="0"/>
                <w:i w:val="0"/>
                <w:color w:val="21302A"/>
                <w:sz w:val="19"/>
              </w:rPr>
              <w:t>Year 10 developing option within the seven-stage Timber pathway; final placement remains a school decision.</w:t>
            </w:r>
          </w:p>
        </w:tc>
      </w:tr>
      <w:tr>
        <w:tc>
          <w:tcPr>
            <w:tcW w:type="dxa" w:w="2381"/>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8"/>
              </w:rPr>
              <w:t>Duration</w:t>
            </w:r>
          </w:p>
        </w:tc>
        <w:tc>
          <w:tcPr>
            <w:tcW w:type="dxa" w:w="12132"/>
            <w:tcMar>
              <w:top w:w="80" w:type="dxa"/>
              <w:start w:w="120" w:type="dxa"/>
              <w:bottom w:w="80" w:type="dxa"/>
              <w:end w:w="120" w:type="dxa"/>
            </w:tcMar>
            <w:shd w:fill="FFFFFF"/>
            <w:vAlign w:val="center"/>
          </w:tcPr>
          <w:p>
            <w:pPr>
              <w:spacing w:before="0" w:after="40" w:line="240" w:lineRule="auto"/>
            </w:pPr>
            <w:r/>
            <w:r>
              <w:rPr>
                <w:rFonts w:ascii="Calibri" w:hAnsi="Calibri"/>
                <w:b w:val="0"/>
                <w:i w:val="0"/>
                <w:color w:val="21302A"/>
                <w:sz w:val="19"/>
              </w:rPr>
              <w:t>20 weeks, delivered through ten paired-week guided modules.</w:t>
            </w:r>
          </w:p>
        </w:tc>
      </w:tr>
      <w:tr>
        <w:tc>
          <w:tcPr>
            <w:tcW w:type="dxa" w:w="2381"/>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8"/>
              </w:rPr>
              <w:t>Focus</w:t>
            </w:r>
          </w:p>
        </w:tc>
        <w:tc>
          <w:tcPr>
            <w:tcW w:type="dxa" w:w="12132"/>
            <w:tcMar>
              <w:top w:w="80" w:type="dxa"/>
              <w:start w:w="120" w:type="dxa"/>
              <w:bottom w:w="80" w:type="dxa"/>
              <w:end w:w="120" w:type="dxa"/>
            </w:tcMar>
            <w:shd w:fill="F7F2E8"/>
            <w:vAlign w:val="center"/>
          </w:tcPr>
          <w:p>
            <w:pPr>
              <w:spacing w:before="0" w:after="40" w:line="240" w:lineRule="auto"/>
            </w:pPr>
            <w:r/>
            <w:r>
              <w:rPr>
                <w:rFonts w:ascii="Calibri" w:hAnsi="Calibri"/>
                <w:b w:val="0"/>
                <w:i w:val="0"/>
                <w:color w:val="21302A"/>
                <w:sz w:val="19"/>
              </w:rPr>
              <w:t>Plan reading, WHS, complex joinery, pivot/hardware fit, design and CAD communication, assembly, finishing, sustainability, portfolio evidence and evaluation.</w:t>
            </w:r>
          </w:p>
        </w:tc>
      </w:tr>
      <w:tr>
        <w:tc>
          <w:tcPr>
            <w:tcW w:type="dxa" w:w="2381"/>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8"/>
              </w:rPr>
              <w:t>Primary outcomes</w:t>
            </w:r>
          </w:p>
        </w:tc>
        <w:tc>
          <w:tcPr>
            <w:tcW w:type="dxa" w:w="12132"/>
            <w:tcMar>
              <w:top w:w="80" w:type="dxa"/>
              <w:start w:w="120" w:type="dxa"/>
              <w:bottom w:w="80" w:type="dxa"/>
              <w:end w:w="120" w:type="dxa"/>
            </w:tcMar>
            <w:shd w:fill="FFFFFF"/>
            <w:vAlign w:val="center"/>
          </w:tcPr>
          <w:p>
            <w:pPr>
              <w:spacing w:before="0" w:after="40" w:line="240" w:lineRule="auto"/>
            </w:pPr>
            <w:r/>
            <w:r>
              <w:rPr>
                <w:rFonts w:ascii="Calibri" w:hAnsi="Calibri"/>
                <w:b w:val="0"/>
                <w:i w:val="0"/>
                <w:color w:val="21302A"/>
                <w:sz w:val="19"/>
              </w:rPr>
              <w:t>INT5-SAF-01, INT5-USE-01, INT5-PRO-01, INT5-INP-01, INT5-DES-01, INT5-COM-01, INT5-ENV-01, INT5-EVL-01, INT5-IND-01.</w:t>
            </w:r>
          </w:p>
        </w:tc>
      </w:tr>
      <w:tr>
        <w:tc>
          <w:tcPr>
            <w:tcW w:type="dxa" w:w="2381"/>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8"/>
              </w:rPr>
              <w:t>Unit overview</w:t>
            </w:r>
          </w:p>
        </w:tc>
        <w:tc>
          <w:tcPr>
            <w:tcW w:type="dxa" w:w="12132"/>
            <w:tcMar>
              <w:top w:w="80" w:type="dxa"/>
              <w:start w:w="120" w:type="dxa"/>
              <w:bottom w:w="80" w:type="dxa"/>
              <w:end w:w="120" w:type="dxa"/>
            </w:tcMar>
            <w:shd w:fill="F7F2E8"/>
            <w:vAlign w:val="center"/>
          </w:tcPr>
          <w:p>
            <w:pPr>
              <w:spacing w:before="0" w:after="40" w:line="240" w:lineRule="auto"/>
            </w:pPr>
            <w:r/>
            <w:r>
              <w:rPr>
                <w:rFonts w:ascii="Calibri" w:hAnsi="Calibri"/>
                <w:b w:val="0"/>
                <w:i w:val="0"/>
                <w:color w:val="21302A"/>
                <w:sz w:val="19"/>
              </w:rPr>
              <w:t>Students plan, produce, test and document a folding chair using the supplied project plans and teacher-approved processes. The guided course supports theory and saved evidence; practical competence, safe machine use, hardware fit and final functionality require direct teacher observation.</w:t>
            </w:r>
          </w:p>
        </w:tc>
      </w:tr>
    </w:tbl>
    <w:p>
      <w:pPr>
        <w:pStyle w:val="Heading1"/>
      </w:pPr>
      <w:r>
        <w:t>Outcome and evidence coverage</w:t>
      </w:r>
    </w:p>
    <w:tbl>
      <w:tblPr>
        <w:tblW w:type="dxa" w:w="14513"/>
        <w:tblLayout w:type="fixed"/>
        <w:tblLook w:firstColumn="1" w:firstRow="1" w:lastColumn="0" w:lastRow="0" w:noHBand="0" w:noVBand="1" w:val="04A0"/>
        <w:jc w:val="center"/>
        <w:tblInd w:w="120" w:type="dxa"/>
      </w:tblPr>
      <w:tblGrid>
        <w:gridCol w:w="2381"/>
        <w:gridCol w:w="12132"/>
      </w:tblGrid>
      <w:tr>
        <w:trPr>
          <w:tblHeader w:val="true"/>
        </w:trPr>
        <w:tc>
          <w:tcPr>
            <w:tcW w:type="dxa" w:w="2381"/>
            <w:tcMar>
              <w:top w:w="80" w:type="dxa"/>
              <w:start w:w="120" w:type="dxa"/>
              <w:bottom w:w="80" w:type="dxa"/>
              <w:end w:w="120" w:type="dxa"/>
            </w:tcMar>
            <w:shd w:fill="A86532"/>
            <w:vAlign w:val="center"/>
          </w:tcPr>
          <w:p>
            <w:pPr>
              <w:spacing w:before="0" w:after="40" w:line="240" w:lineRule="auto"/>
            </w:pPr>
            <w:r/>
            <w:r>
              <w:rPr>
                <w:rFonts w:ascii="Calibri" w:hAnsi="Calibri"/>
                <w:b/>
                <w:i w:val="0"/>
                <w:color w:val="FFFFFF"/>
                <w:sz w:val="18"/>
              </w:rPr>
              <w:t>Outcome code</w:t>
            </w:r>
          </w:p>
        </w:tc>
        <w:tc>
          <w:tcPr>
            <w:tcW w:type="dxa" w:w="12132"/>
            <w:tcMar>
              <w:top w:w="80" w:type="dxa"/>
              <w:start w:w="120" w:type="dxa"/>
              <w:bottom w:w="80" w:type="dxa"/>
              <w:end w:w="120" w:type="dxa"/>
            </w:tcMar>
            <w:shd w:fill="A86532"/>
            <w:vAlign w:val="center"/>
          </w:tcPr>
          <w:p>
            <w:pPr>
              <w:spacing w:before="0" w:after="40" w:line="240" w:lineRule="auto"/>
            </w:pPr>
            <w:r/>
            <w:r>
              <w:rPr>
                <w:rFonts w:ascii="Calibri" w:hAnsi="Calibri"/>
                <w:b/>
                <w:i w:val="0"/>
                <w:color w:val="FFFFFF"/>
                <w:sz w:val="18"/>
              </w:rPr>
              <w:t>Program evidence requirement</w:t>
            </w:r>
          </w:p>
        </w:tc>
      </w:tr>
      <w:tr>
        <w:tc>
          <w:tcPr>
            <w:tcW w:type="dxa" w:w="2381"/>
            <w:shd w:fill="FFF3D6"/>
            <w:vAlign w:val="center"/>
            <w:tcMar>
              <w:top w:w="80" w:type="dxa"/>
              <w:start w:w="120" w:type="dxa"/>
              <w:bottom w:w="80" w:type="dxa"/>
              <w:end w:w="120" w:type="dxa"/>
            </w:tcMar>
          </w:tcPr>
          <w:p>
            <w:pPr>
              <w:spacing w:before="0" w:after="40" w:line="240" w:lineRule="auto"/>
            </w:pPr>
            <w:r/>
            <w:r>
              <w:rPr>
                <w:rFonts w:ascii="Calibri" w:hAnsi="Calibri"/>
                <w:b/>
                <w:i w:val="0"/>
                <w:color w:val="10372B"/>
                <w:sz w:val="18"/>
              </w:rPr>
              <w:t>INT5-SAF-01</w:t>
            </w:r>
          </w:p>
        </w:tc>
        <w:tc>
          <w:tcPr>
            <w:tcW w:type="dxa" w:w="12132"/>
            <w:vAlign w:val="center"/>
            <w:tcMar>
              <w:top w:w="80" w:type="dxa"/>
              <w:start w:w="120" w:type="dxa"/>
              <w:bottom w:w="80" w:type="dxa"/>
              <w:end w:w="120" w:type="dxa"/>
            </w:tcMar>
          </w:tcPr>
          <w:p>
            <w:pPr>
              <w:spacing w:before="0" w:after="40" w:line="240" w:lineRule="auto"/>
            </w:pPr>
            <w:r/>
            <w:r>
              <w:rPr>
                <w:rFonts w:ascii="Calibri" w:hAnsi="Calibri"/>
                <w:b w:val="0"/>
                <w:i w:val="0"/>
                <w:color w:val="21302A"/>
                <w:sz w:val="18"/>
              </w:rPr>
              <w:t>Students use risk controls, WMS/SOP/SDS information and teacher-authorised workshop procedures.</w:t>
            </w:r>
          </w:p>
        </w:tc>
      </w:tr>
      <w:tr>
        <w:tc>
          <w:tcPr>
            <w:tcW w:type="dxa" w:w="2381"/>
            <w:shd w:fill="FFF3D6"/>
            <w:vAlign w:val="center"/>
            <w:tcMar>
              <w:top w:w="80" w:type="dxa"/>
              <w:start w:w="120" w:type="dxa"/>
              <w:bottom w:w="80" w:type="dxa"/>
              <w:end w:w="120" w:type="dxa"/>
            </w:tcMar>
          </w:tcPr>
          <w:p>
            <w:pPr>
              <w:spacing w:before="0" w:after="40" w:line="240" w:lineRule="auto"/>
            </w:pPr>
            <w:r/>
            <w:r>
              <w:rPr>
                <w:rFonts w:ascii="Calibri" w:hAnsi="Calibri"/>
                <w:b/>
                <w:i w:val="0"/>
                <w:color w:val="10372B"/>
                <w:sz w:val="18"/>
              </w:rPr>
              <w:t>INT5-USE-01 / INT5-PRO-01</w:t>
            </w:r>
          </w:p>
        </w:tc>
        <w:tc>
          <w:tcPr>
            <w:tcW w:type="dxa" w:w="12132"/>
            <w:vAlign w:val="center"/>
            <w:tcMar>
              <w:top w:w="80" w:type="dxa"/>
              <w:start w:w="120" w:type="dxa"/>
              <w:bottom w:w="80" w:type="dxa"/>
              <w:end w:w="120" w:type="dxa"/>
            </w:tcMar>
          </w:tcPr>
          <w:p>
            <w:pPr>
              <w:spacing w:before="0" w:after="40" w:line="240" w:lineRule="auto"/>
            </w:pPr>
            <w:r/>
            <w:r>
              <w:rPr>
                <w:rFonts w:ascii="Calibri" w:hAnsi="Calibri"/>
                <w:b w:val="0"/>
                <w:i w:val="0"/>
                <w:color w:val="21302A"/>
                <w:sz w:val="18"/>
              </w:rPr>
              <w:t>Students apply appropriate tools, joinery, assembly, hardware, surface and finishing processes.</w:t>
            </w:r>
          </w:p>
        </w:tc>
      </w:tr>
      <w:tr>
        <w:tc>
          <w:tcPr>
            <w:tcW w:type="dxa" w:w="2381"/>
            <w:shd w:fill="FFF3D6"/>
            <w:vAlign w:val="center"/>
            <w:tcMar>
              <w:top w:w="80" w:type="dxa"/>
              <w:start w:w="120" w:type="dxa"/>
              <w:bottom w:w="80" w:type="dxa"/>
              <w:end w:w="120" w:type="dxa"/>
            </w:tcMar>
          </w:tcPr>
          <w:p>
            <w:pPr>
              <w:spacing w:before="0" w:after="40" w:line="240" w:lineRule="auto"/>
            </w:pPr>
            <w:r/>
            <w:r>
              <w:rPr>
                <w:rFonts w:ascii="Calibri" w:hAnsi="Calibri"/>
                <w:b/>
                <w:i w:val="0"/>
                <w:color w:val="10372B"/>
                <w:sz w:val="18"/>
              </w:rPr>
              <w:t>INT5-INP-01</w:t>
            </w:r>
          </w:p>
        </w:tc>
        <w:tc>
          <w:tcPr>
            <w:tcW w:type="dxa" w:w="12132"/>
            <w:vAlign w:val="center"/>
            <w:tcMar>
              <w:top w:w="80" w:type="dxa"/>
              <w:start w:w="120" w:type="dxa"/>
              <w:bottom w:w="80" w:type="dxa"/>
              <w:end w:w="120" w:type="dxa"/>
            </w:tcMar>
          </w:tcPr>
          <w:p>
            <w:pPr>
              <w:spacing w:before="0" w:after="40" w:line="240" w:lineRule="auto"/>
            </w:pPr>
            <w:r/>
            <w:r>
              <w:rPr>
                <w:rFonts w:ascii="Calibri" w:hAnsi="Calibri"/>
                <w:b w:val="0"/>
                <w:i w:val="0"/>
                <w:color w:val="21302A"/>
                <w:sz w:val="18"/>
              </w:rPr>
              <w:t>Students plan production, apply quality gates, allocate collaborative roles and manage approved corrections.</w:t>
            </w:r>
          </w:p>
        </w:tc>
      </w:tr>
      <w:tr>
        <w:tc>
          <w:tcPr>
            <w:tcW w:type="dxa" w:w="2381"/>
            <w:shd w:fill="FFF3D6"/>
            <w:vAlign w:val="center"/>
            <w:tcMar>
              <w:top w:w="80" w:type="dxa"/>
              <w:start w:w="120" w:type="dxa"/>
              <w:bottom w:w="80" w:type="dxa"/>
              <w:end w:w="120" w:type="dxa"/>
            </w:tcMar>
          </w:tcPr>
          <w:p>
            <w:pPr>
              <w:spacing w:before="0" w:after="40" w:line="240" w:lineRule="auto"/>
            </w:pPr>
            <w:r/>
            <w:r>
              <w:rPr>
                <w:rFonts w:ascii="Calibri" w:hAnsi="Calibri"/>
                <w:b/>
                <w:i w:val="0"/>
                <w:color w:val="10372B"/>
                <w:sz w:val="18"/>
              </w:rPr>
              <w:t>INT5-DES-01 / INT5-COM-01</w:t>
            </w:r>
          </w:p>
        </w:tc>
        <w:tc>
          <w:tcPr>
            <w:tcW w:type="dxa" w:w="12132"/>
            <w:vAlign w:val="center"/>
            <w:tcMar>
              <w:top w:w="80" w:type="dxa"/>
              <w:start w:w="120" w:type="dxa"/>
              <w:bottom w:w="80" w:type="dxa"/>
              <w:end w:w="120" w:type="dxa"/>
            </w:tcMar>
          </w:tcPr>
          <w:p>
            <w:pPr>
              <w:spacing w:before="0" w:after="40" w:line="240" w:lineRule="auto"/>
            </w:pPr>
            <w:r/>
            <w:r>
              <w:rPr>
                <w:rFonts w:ascii="Calibri" w:hAnsi="Calibri"/>
                <w:b w:val="0"/>
                <w:i w:val="0"/>
                <w:color w:val="21302A"/>
                <w:sz w:val="18"/>
              </w:rPr>
              <w:t>Students justify an approved design response and communicate through drawings/CAD, written responses, photographs and folio evidence.</w:t>
            </w:r>
          </w:p>
        </w:tc>
      </w:tr>
      <w:tr>
        <w:tc>
          <w:tcPr>
            <w:tcW w:type="dxa" w:w="2381"/>
            <w:shd w:fill="FFF3D6"/>
            <w:vAlign w:val="center"/>
            <w:tcMar>
              <w:top w:w="80" w:type="dxa"/>
              <w:start w:w="120" w:type="dxa"/>
              <w:bottom w:w="80" w:type="dxa"/>
              <w:end w:w="120" w:type="dxa"/>
            </w:tcMar>
          </w:tcPr>
          <w:p>
            <w:pPr>
              <w:spacing w:before="0" w:after="40" w:line="240" w:lineRule="auto"/>
            </w:pPr>
            <w:r/>
            <w:r>
              <w:rPr>
                <w:rFonts w:ascii="Calibri" w:hAnsi="Calibri"/>
                <w:b/>
                <w:i w:val="0"/>
                <w:color w:val="10372B"/>
                <w:sz w:val="18"/>
              </w:rPr>
              <w:t>INT5-ENV-01 / INT5-EVL-01</w:t>
            </w:r>
          </w:p>
        </w:tc>
        <w:tc>
          <w:tcPr>
            <w:tcW w:type="dxa" w:w="12132"/>
            <w:vAlign w:val="center"/>
            <w:tcMar>
              <w:top w:w="80" w:type="dxa"/>
              <w:start w:w="120" w:type="dxa"/>
              <w:bottom w:w="80" w:type="dxa"/>
              <w:end w:w="120" w:type="dxa"/>
            </w:tcMar>
          </w:tcPr>
          <w:p>
            <w:pPr>
              <w:spacing w:before="0" w:after="40" w:line="240" w:lineRule="auto"/>
            </w:pPr>
            <w:r/>
            <w:r>
              <w:rPr>
                <w:rFonts w:ascii="Calibri" w:hAnsi="Calibri"/>
                <w:b w:val="0"/>
                <w:i w:val="0"/>
                <w:color w:val="21302A"/>
                <w:sz w:val="18"/>
              </w:rPr>
              <w:t>Students evaluate lifecycle impact, finish choices, function, quality and improvement.</w:t>
            </w:r>
          </w:p>
        </w:tc>
      </w:tr>
      <w:tr>
        <w:tc>
          <w:tcPr>
            <w:tcW w:type="dxa" w:w="2381"/>
            <w:shd w:fill="FFF3D6"/>
            <w:vAlign w:val="center"/>
            <w:tcMar>
              <w:top w:w="80" w:type="dxa"/>
              <w:start w:w="120" w:type="dxa"/>
              <w:bottom w:w="80" w:type="dxa"/>
              <w:end w:w="120" w:type="dxa"/>
            </w:tcMar>
          </w:tcPr>
          <w:p>
            <w:pPr>
              <w:spacing w:before="0" w:after="40" w:line="240" w:lineRule="auto"/>
            </w:pPr>
            <w:r/>
            <w:r>
              <w:rPr>
                <w:rFonts w:ascii="Calibri" w:hAnsi="Calibri"/>
                <w:b/>
                <w:i w:val="0"/>
                <w:color w:val="10372B"/>
                <w:sz w:val="18"/>
              </w:rPr>
              <w:t>INT5-IND-01</w:t>
            </w:r>
          </w:p>
        </w:tc>
        <w:tc>
          <w:tcPr>
            <w:tcW w:type="dxa" w:w="12132"/>
            <w:vAlign w:val="center"/>
            <w:tcMar>
              <w:top w:w="80" w:type="dxa"/>
              <w:start w:w="120" w:type="dxa"/>
              <w:bottom w:w="80" w:type="dxa"/>
              <w:end w:w="120" w:type="dxa"/>
            </w:tcMar>
          </w:tcPr>
          <w:p>
            <w:pPr>
              <w:spacing w:before="0" w:after="40" w:line="240" w:lineRule="auto"/>
            </w:pPr>
            <w:r/>
            <w:r>
              <w:rPr>
                <w:rFonts w:ascii="Calibri" w:hAnsi="Calibri"/>
                <w:b w:val="0"/>
                <w:i w:val="0"/>
                <w:color w:val="21302A"/>
                <w:sz w:val="18"/>
              </w:rPr>
              <w:t>Students compare school processes with industry-quality, work and enterprise expectations without treating industry tools as student operating instructions.</w:t>
            </w:r>
          </w:p>
        </w:tc>
      </w:tr>
    </w:tbl>
    <w:p>
      <w:pPr>
        <w:pStyle w:val="Heading1"/>
      </w:pPr>
      <w:r>
        <w:t>Teaching and evidence sequence</w:t>
      </w:r>
    </w:p>
    <w:p>
      <w:pPr>
        <w:spacing w:after="120"/>
      </w:pPr>
      <w:r>
        <w:rPr>
          <w:rFonts w:ascii="Calibri" w:hAnsi="Calibri"/>
          <w:b w:val="0"/>
          <w:i/>
          <w:color w:val="5E6B65"/>
          <w:sz w:val="17"/>
        </w:rPr>
        <w:t>Syllabus content below is quoted from the supplied future Timber program. Page references are retained from that source.</w:t>
      </w:r>
    </w:p>
    <w:tbl>
      <w:tblPr>
        <w:tblW w:type="dxa" w:w="14513"/>
        <w:tblLayout w:type="fixed"/>
        <w:tblLook w:firstColumn="1" w:firstRow="1" w:lastColumn="0" w:lastRow="0" w:noHBand="0" w:noVBand="1" w:val="04A0"/>
        <w:jc w:val="center"/>
        <w:tblInd w:w="120" w:type="dxa"/>
      </w:tblPr>
      <w:tblGrid>
        <w:gridCol w:w="822"/>
        <w:gridCol w:w="2835"/>
        <w:gridCol w:w="1757"/>
        <w:gridCol w:w="5244"/>
        <w:gridCol w:w="3855"/>
      </w:tblGrid>
      <w:tr>
        <w:trPr>
          <w:tblHeader w:val="true"/>
        </w:trPr>
        <w:tc>
          <w:tcPr>
            <w:tcW w:type="dxa" w:w="822"/>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7"/>
              </w:rPr>
              <w:t>Weeks</w:t>
            </w:r>
          </w:p>
        </w:tc>
        <w:tc>
          <w:tcPr>
            <w:tcW w:type="dxa" w:w="2835"/>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7"/>
              </w:rPr>
              <w:t>Teaching / practical focus</w:t>
            </w:r>
          </w:p>
        </w:tc>
        <w:tc>
          <w:tcPr>
            <w:tcW w:type="dxa" w:w="1757"/>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7"/>
              </w:rPr>
              <w:t>Outcome codes</w:t>
            </w:r>
          </w:p>
        </w:tc>
        <w:tc>
          <w:tcPr>
            <w:tcW w:type="dxa" w:w="5244"/>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7"/>
              </w:rPr>
              <w:t>Syllabus content</w:t>
            </w:r>
          </w:p>
        </w:tc>
        <w:tc>
          <w:tcPr>
            <w:tcW w:type="dxa" w:w="3855"/>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7"/>
              </w:rPr>
              <w:t>Evidence and source reference</w:t>
            </w:r>
          </w:p>
        </w:tc>
      </w:tr>
      <w:tr>
        <w:tc>
          <w:tcPr>
            <w:tcW w:type="dxa" w:w="822"/>
            <w:shd w:fill="FFFFFF"/>
            <w:vAlign w:val="center"/>
            <w:tcMar>
              <w:top w:w="80" w:type="dxa"/>
              <w:start w:w="120" w:type="dxa"/>
              <w:bottom w:w="80" w:type="dxa"/>
              <w:end w:w="120" w:type="dxa"/>
            </w:tcMar>
          </w:tcPr>
          <w:p>
            <w:pPr>
              <w:spacing w:before="0" w:after="40" w:line="240" w:lineRule="auto"/>
            </w:pPr>
            <w:r/>
            <w:r>
              <w:rPr>
                <w:rFonts w:ascii="Calibri" w:hAnsi="Calibri"/>
                <w:b/>
                <w:i w:val="0"/>
                <w:color w:val="10372B"/>
                <w:sz w:val="17"/>
              </w:rPr>
              <w:t>1-2</w:t>
            </w:r>
          </w:p>
        </w:tc>
        <w:tc>
          <w:tcPr>
            <w:tcW w:type="dxa" w:w="2835"/>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7"/>
              </w:rPr>
              <w:t>Project brief, plan reading, constraints, WHS, design criteria, approved variation and accurate mark-out.</w:t>
            </w:r>
          </w:p>
        </w:tc>
        <w:tc>
          <w:tcPr>
            <w:tcW w:type="dxa" w:w="1757"/>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INT5-SAF-01</w:t>
            </w:r>
          </w:p>
          <w:p>
            <w:pPr>
              <w:spacing w:before="0" w:after="40" w:line="240" w:lineRule="auto"/>
            </w:pPr>
            <w:r>
              <w:rPr>
                <w:rFonts w:ascii="Calibri" w:hAnsi="Calibri"/>
                <w:b w:val="0"/>
                <w:i w:val="0"/>
                <w:color w:val="21302A"/>
                <w:sz w:val="16"/>
              </w:rPr>
              <w:t>INT5-DES-01</w:t>
            </w:r>
          </w:p>
          <w:p>
            <w:pPr>
              <w:spacing w:before="0" w:after="40" w:line="240" w:lineRule="auto"/>
            </w:pPr>
            <w:r>
              <w:rPr>
                <w:rFonts w:ascii="Calibri" w:hAnsi="Calibri"/>
                <w:b w:val="0"/>
                <w:i w:val="0"/>
                <w:color w:val="21302A"/>
                <w:sz w:val="16"/>
              </w:rPr>
              <w:t>INT5-COM-01</w:t>
            </w:r>
          </w:p>
          <w:p>
            <w:pPr>
              <w:spacing w:before="0" w:after="40" w:line="240" w:lineRule="auto"/>
            </w:pPr>
            <w:r>
              <w:rPr>
                <w:rFonts w:ascii="Calibri" w:hAnsi="Calibri"/>
                <w:b w:val="0"/>
                <w:i w:val="0"/>
                <w:color w:val="21302A"/>
                <w:sz w:val="16"/>
              </w:rPr>
              <w:t>INT5-INP-01</w:t>
            </w:r>
          </w:p>
        </w:tc>
        <w:tc>
          <w:tcPr>
            <w:tcW w:type="dxa" w:w="5244"/>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5"/>
              </w:rPr>
              <w:t>Recognise and comply with work health and safety (WHS) documentation and signage, and follow WHS rules when designing or producing (p.47)</w:t>
            </w:r>
          </w:p>
          <w:p>
            <w:pPr>
              <w:spacing w:before="0" w:after="40" w:line="240" w:lineRule="auto"/>
            </w:pPr>
            <w:r>
              <w:rPr>
                <w:rFonts w:ascii="Calibri" w:hAnsi="Calibri"/>
                <w:b w:val="0"/>
                <w:i w:val="0"/>
                <w:color w:val="21302A"/>
                <w:sz w:val="15"/>
              </w:rPr>
              <w:t>Outline the principles of risk management and implement risk-reduction procedures (p.47)</w:t>
            </w:r>
          </w:p>
          <w:p>
            <w:pPr>
              <w:spacing w:before="0" w:after="40" w:line="240" w:lineRule="auto"/>
            </w:pPr>
            <w:r>
              <w:rPr>
                <w:rFonts w:ascii="Calibri" w:hAnsi="Calibri"/>
                <w:b w:val="0"/>
                <w:i w:val="0"/>
                <w:color w:val="21302A"/>
                <w:sz w:val="15"/>
              </w:rPr>
              <w:t>Apply a range of graphical communication techniques including freehand sketching, diagrams, graphs, charts or computer-aided design (CAD) software during project development (p.48)</w:t>
            </w:r>
          </w:p>
          <w:p>
            <w:pPr>
              <w:spacing w:before="0" w:after="40" w:line="240" w:lineRule="auto"/>
            </w:pPr>
            <w:r>
              <w:rPr>
                <w:rFonts w:ascii="Calibri" w:hAnsi="Calibri"/>
                <w:b w:val="0"/>
                <w:i w:val="0"/>
                <w:color w:val="21302A"/>
                <w:sz w:val="15"/>
              </w:rPr>
              <w:t>Propose, apply and evaluate plans for production, using project management tasks and tools (p.48)</w:t>
            </w:r>
          </w:p>
        </w:tc>
        <w:tc>
          <w:tcPr>
            <w:tcW w:type="dxa" w:w="3855"/>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Folding Chair Weeks 1-2: saved hazard, plan-reading and design responses.</w:t>
            </w:r>
          </w:p>
          <w:p>
            <w:pPr>
              <w:spacing w:before="0" w:after="40" w:line="240" w:lineRule="auto"/>
            </w:pPr>
            <w:r>
              <w:rPr>
                <w:rFonts w:ascii="Calibri" w:hAnsi="Calibri"/>
                <w:b w:val="0"/>
                <w:i w:val="0"/>
                <w:color w:val="21302A"/>
                <w:sz w:val="16"/>
              </w:rPr>
              <w:t>Teacher or partner pre-cut check; teacher observation of mark-out.</w:t>
            </w:r>
          </w:p>
        </w:tc>
      </w:tr>
      <w:tr>
        <w:tc>
          <w:tcPr>
            <w:tcW w:type="dxa" w:w="822"/>
            <w:shd w:fill="E8F1EC"/>
            <w:vAlign w:val="center"/>
            <w:tcMar>
              <w:top w:w="80" w:type="dxa"/>
              <w:start w:w="120" w:type="dxa"/>
              <w:bottom w:w="80" w:type="dxa"/>
              <w:end w:w="120" w:type="dxa"/>
            </w:tcMar>
          </w:tcPr>
          <w:p>
            <w:pPr>
              <w:spacing w:before="0" w:after="40" w:line="240" w:lineRule="auto"/>
            </w:pPr>
            <w:r/>
            <w:r>
              <w:rPr>
                <w:rFonts w:ascii="Calibri" w:hAnsi="Calibri"/>
                <w:b/>
                <w:i w:val="0"/>
                <w:color w:val="10372B"/>
                <w:sz w:val="17"/>
              </w:rPr>
              <w:t>3-4</w:t>
            </w:r>
          </w:p>
        </w:tc>
        <w:tc>
          <w:tcPr>
            <w:tcW w:type="dxa" w:w="2835"/>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7"/>
              </w:rPr>
              <w:t>Cutting list, timber selection, defects, FEWTEL checks, mortiser preparation and joint planning.</w:t>
            </w:r>
          </w:p>
        </w:tc>
        <w:tc>
          <w:tcPr>
            <w:tcW w:type="dxa" w:w="1757"/>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INT5-SAF-01</w:t>
            </w:r>
          </w:p>
          <w:p>
            <w:pPr>
              <w:spacing w:before="0" w:after="40" w:line="240" w:lineRule="auto"/>
            </w:pPr>
            <w:r>
              <w:rPr>
                <w:rFonts w:ascii="Calibri" w:hAnsi="Calibri"/>
                <w:b w:val="0"/>
                <w:i w:val="0"/>
                <w:color w:val="21302A"/>
                <w:sz w:val="16"/>
              </w:rPr>
              <w:t>INT5-USE-01</w:t>
            </w:r>
          </w:p>
          <w:p>
            <w:pPr>
              <w:spacing w:before="0" w:after="40" w:line="240" w:lineRule="auto"/>
            </w:pPr>
            <w:r>
              <w:rPr>
                <w:rFonts w:ascii="Calibri" w:hAnsi="Calibri"/>
                <w:b w:val="0"/>
                <w:i w:val="0"/>
                <w:color w:val="21302A"/>
                <w:sz w:val="16"/>
              </w:rPr>
              <w:t>INT5-PRO-01</w:t>
            </w:r>
          </w:p>
          <w:p>
            <w:pPr>
              <w:spacing w:before="0" w:after="40" w:line="240" w:lineRule="auto"/>
            </w:pPr>
            <w:r>
              <w:rPr>
                <w:rFonts w:ascii="Calibri" w:hAnsi="Calibri"/>
                <w:b w:val="0"/>
                <w:i w:val="0"/>
                <w:color w:val="21302A"/>
                <w:sz w:val="16"/>
              </w:rPr>
              <w:t>INT5-INP-01</w:t>
            </w:r>
          </w:p>
        </w:tc>
        <w:tc>
          <w:tcPr>
            <w:tcW w:type="dxa" w:w="5244"/>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5"/>
              </w:rPr>
              <w:t>Compare properties and characteristics of hardwoods and softwoods, including grain, weight, density and texture, to justify their selection for specific timber components or projects (p.49)</w:t>
            </w:r>
          </w:p>
          <w:p>
            <w:pPr>
              <w:spacing w:before="0" w:after="40" w:line="240" w:lineRule="auto"/>
            </w:pPr>
            <w:r>
              <w:rPr>
                <w:rFonts w:ascii="Calibri" w:hAnsi="Calibri"/>
                <w:b w:val="0"/>
                <w:i w:val="0"/>
                <w:color w:val="21302A"/>
                <w:sz w:val="15"/>
              </w:rPr>
              <w:t>Identify a range of marking-out, cutting, shaping, forming, machining, detailing, finishing and assembly tools used to make components or projects (p.50)</w:t>
            </w:r>
          </w:p>
          <w:p>
            <w:pPr>
              <w:spacing w:before="0" w:after="40" w:line="240" w:lineRule="auto"/>
            </w:pPr>
            <w:r>
              <w:rPr>
                <w:rFonts w:ascii="Calibri" w:hAnsi="Calibri"/>
                <w:b w:val="0"/>
                <w:i w:val="0"/>
                <w:color w:val="21302A"/>
                <w:sz w:val="15"/>
              </w:rPr>
              <w:t>Perform safe set-up of tools and equipment, relevant to the project, including inspecting and adjusting guards before use, following standard operating procedures (SOPs) and safety data sheets (SDSs), calculating speed and feed rates for machine processes, securing work pieces, ensuring battery and cable care, or using dust control measures (p.50)</w:t>
            </w:r>
          </w:p>
          <w:p>
            <w:pPr>
              <w:spacing w:before="0" w:after="40" w:line="240" w:lineRule="auto"/>
            </w:pPr>
            <w:r>
              <w:rPr>
                <w:rFonts w:ascii="Calibri" w:hAnsi="Calibri"/>
                <w:b w:val="0"/>
                <w:i w:val="0"/>
                <w:color w:val="21302A"/>
                <w:sz w:val="15"/>
              </w:rPr>
              <w:t>Use appropriate hand tools, portable power tools or machines when cutting, shaping, forming, machining or detailing to make timber products (p.51)</w:t>
            </w:r>
          </w:p>
          <w:p>
            <w:pPr>
              <w:spacing w:before="0" w:after="40" w:line="240" w:lineRule="auto"/>
            </w:pPr>
            <w:r>
              <w:rPr>
                <w:rFonts w:ascii="Calibri" w:hAnsi="Calibri"/>
                <w:b w:val="0"/>
                <w:i w:val="0"/>
                <w:color w:val="21302A"/>
                <w:sz w:val="15"/>
              </w:rPr>
              <w:t>Apply appropriate carcase framing and box joints, such as rebate, mitre, housing, finger, dovetail, bridle or mortice and tenon (p.51)</w:t>
            </w:r>
          </w:p>
        </w:tc>
        <w:tc>
          <w:tcPr>
            <w:tcW w:type="dxa" w:w="3855"/>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Weeks 3-4: saved cutting-list, timber and mortiser responses.</w:t>
            </w:r>
          </w:p>
          <w:p>
            <w:pPr>
              <w:spacing w:before="0" w:after="40" w:line="240" w:lineRule="auto"/>
            </w:pPr>
            <w:r>
              <w:rPr>
                <w:rFonts w:ascii="Calibri" w:hAnsi="Calibri"/>
                <w:b w:val="0"/>
                <w:i w:val="0"/>
                <w:color w:val="21302A"/>
                <w:sz w:val="16"/>
              </w:rPr>
              <w:t>Teacher observation: material selection and authorised machine set-up.</w:t>
            </w:r>
          </w:p>
        </w:tc>
      </w:tr>
      <w:tr>
        <w:tc>
          <w:tcPr>
            <w:tcW w:type="dxa" w:w="822"/>
            <w:shd w:fill="FFFFFF"/>
            <w:vAlign w:val="center"/>
            <w:tcMar>
              <w:top w:w="80" w:type="dxa"/>
              <w:start w:w="120" w:type="dxa"/>
              <w:bottom w:w="80" w:type="dxa"/>
              <w:end w:w="120" w:type="dxa"/>
            </w:tcMar>
          </w:tcPr>
          <w:p>
            <w:pPr>
              <w:spacing w:before="0" w:after="40" w:line="240" w:lineRule="auto"/>
            </w:pPr>
            <w:r/>
            <w:r>
              <w:rPr>
                <w:rFonts w:ascii="Calibri" w:hAnsi="Calibri"/>
                <w:b/>
                <w:i w:val="0"/>
                <w:color w:val="10372B"/>
                <w:sz w:val="17"/>
              </w:rPr>
              <w:t>5-6</w:t>
            </w:r>
          </w:p>
        </w:tc>
        <w:tc>
          <w:tcPr>
            <w:tcW w:type="dxa" w:w="2835"/>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7"/>
              </w:rPr>
              <w:t>Bandsaw preparation, controlled cutting, mortise-and-tenon production, quality gates and fault response.</w:t>
            </w:r>
          </w:p>
        </w:tc>
        <w:tc>
          <w:tcPr>
            <w:tcW w:type="dxa" w:w="1757"/>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INT5-SAF-01</w:t>
            </w:r>
          </w:p>
          <w:p>
            <w:pPr>
              <w:spacing w:before="0" w:after="40" w:line="240" w:lineRule="auto"/>
            </w:pPr>
            <w:r>
              <w:rPr>
                <w:rFonts w:ascii="Calibri" w:hAnsi="Calibri"/>
                <w:b w:val="0"/>
                <w:i w:val="0"/>
                <w:color w:val="21302A"/>
                <w:sz w:val="16"/>
              </w:rPr>
              <w:t>INT5-USE-01</w:t>
            </w:r>
          </w:p>
          <w:p>
            <w:pPr>
              <w:spacing w:before="0" w:after="40" w:line="240" w:lineRule="auto"/>
            </w:pPr>
            <w:r>
              <w:rPr>
                <w:rFonts w:ascii="Calibri" w:hAnsi="Calibri"/>
                <w:b w:val="0"/>
                <w:i w:val="0"/>
                <w:color w:val="21302A"/>
                <w:sz w:val="16"/>
              </w:rPr>
              <w:t>INT5-PRO-01</w:t>
            </w:r>
          </w:p>
          <w:p>
            <w:pPr>
              <w:spacing w:before="0" w:after="40" w:line="240" w:lineRule="auto"/>
            </w:pPr>
            <w:r>
              <w:rPr>
                <w:rFonts w:ascii="Calibri" w:hAnsi="Calibri"/>
                <w:b w:val="0"/>
                <w:i w:val="0"/>
                <w:color w:val="21302A"/>
                <w:sz w:val="16"/>
              </w:rPr>
              <w:t>INT5-INP-01</w:t>
            </w:r>
          </w:p>
        </w:tc>
        <w:tc>
          <w:tcPr>
            <w:tcW w:type="dxa" w:w="5244"/>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5"/>
              </w:rPr>
              <w:t>Perform safe set-up of tools and equipment, relevant to the project, including inspecting and adjusting guards before use, following standard operating procedures (SOPs) and safety data sheets (SDSs), calculating speed and feed rates for machine processes, securing work pieces, ensuring battery and cable care, or using dust control measures (p.50)</w:t>
            </w:r>
          </w:p>
          <w:p>
            <w:pPr>
              <w:spacing w:before="0" w:after="40" w:line="240" w:lineRule="auto"/>
            </w:pPr>
            <w:r>
              <w:rPr>
                <w:rFonts w:ascii="Calibri" w:hAnsi="Calibri"/>
                <w:b w:val="0"/>
                <w:i w:val="0"/>
                <w:color w:val="21302A"/>
                <w:sz w:val="15"/>
              </w:rPr>
              <w:t>Use appropriate hand tools, portable power tools or machines when cutting, shaping, forming, machining or detailing to make timber products (p.51)</w:t>
            </w:r>
          </w:p>
          <w:p>
            <w:pPr>
              <w:spacing w:before="0" w:after="40" w:line="240" w:lineRule="auto"/>
            </w:pPr>
            <w:r>
              <w:rPr>
                <w:rFonts w:ascii="Calibri" w:hAnsi="Calibri"/>
                <w:b w:val="0"/>
                <w:i w:val="0"/>
                <w:color w:val="21302A"/>
                <w:sz w:val="15"/>
              </w:rPr>
              <w:t>Apply appropriate carcase framing and box joints, such as rebate, mitre, housing, finger, dovetail, bridle or mortice and tenon (p.51)</w:t>
            </w:r>
          </w:p>
          <w:p>
            <w:pPr>
              <w:spacing w:before="0" w:after="40" w:line="240" w:lineRule="auto"/>
            </w:pPr>
            <w:r>
              <w:rPr>
                <w:rFonts w:ascii="Calibri" w:hAnsi="Calibri"/>
                <w:b w:val="0"/>
                <w:i w:val="0"/>
                <w:color w:val="21302A"/>
                <w:sz w:val="15"/>
              </w:rPr>
              <w:t>Outline and apply a quality management system to support production processes including testing, quality assurance and quality control (p.48)</w:t>
            </w:r>
          </w:p>
        </w:tc>
        <w:tc>
          <w:tcPr>
            <w:tcW w:type="dxa" w:w="3855"/>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Weeks 5-6: saved SOP, joinery and quality-gate responses.</w:t>
            </w:r>
          </w:p>
          <w:p>
            <w:pPr>
              <w:spacing w:before="0" w:after="40" w:line="240" w:lineRule="auto"/>
            </w:pPr>
            <w:r>
              <w:rPr>
                <w:rFonts w:ascii="Calibri" w:hAnsi="Calibri"/>
                <w:b w:val="0"/>
                <w:i w:val="0"/>
                <w:color w:val="21302A"/>
                <w:sz w:val="16"/>
              </w:rPr>
              <w:t>Teacher observation: bandsaw and joint-production performance.</w:t>
            </w:r>
          </w:p>
        </w:tc>
      </w:tr>
      <w:tr>
        <w:tc>
          <w:tcPr>
            <w:tcW w:type="dxa" w:w="822"/>
            <w:shd w:fill="E8F1EC"/>
            <w:vAlign w:val="center"/>
            <w:tcMar>
              <w:top w:w="80" w:type="dxa"/>
              <w:start w:w="120" w:type="dxa"/>
              <w:bottom w:w="80" w:type="dxa"/>
              <w:end w:w="120" w:type="dxa"/>
            </w:tcMar>
          </w:tcPr>
          <w:p>
            <w:pPr>
              <w:spacing w:before="0" w:after="40" w:line="240" w:lineRule="auto"/>
            </w:pPr>
            <w:r/>
            <w:r>
              <w:rPr>
                <w:rFonts w:ascii="Calibri" w:hAnsi="Calibri"/>
                <w:b/>
                <w:i w:val="0"/>
                <w:color w:val="10372B"/>
                <w:sz w:val="17"/>
              </w:rPr>
              <w:t>7-8</w:t>
            </w:r>
          </w:p>
        </w:tc>
        <w:tc>
          <w:tcPr>
            <w:tcW w:type="dxa" w:w="2835"/>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7"/>
              </w:rPr>
              <w:t>Pivot and hardware layout, countersink orientation, dry assembly, clearance testing, WMS and collaborative handling.</w:t>
            </w:r>
          </w:p>
        </w:tc>
        <w:tc>
          <w:tcPr>
            <w:tcW w:type="dxa" w:w="1757"/>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INT5-SAF-01</w:t>
            </w:r>
          </w:p>
          <w:p>
            <w:pPr>
              <w:spacing w:before="0" w:after="40" w:line="240" w:lineRule="auto"/>
            </w:pPr>
            <w:r>
              <w:rPr>
                <w:rFonts w:ascii="Calibri" w:hAnsi="Calibri"/>
                <w:b w:val="0"/>
                <w:i w:val="0"/>
                <w:color w:val="21302A"/>
                <w:sz w:val="16"/>
              </w:rPr>
              <w:t>INT5-USE-01</w:t>
            </w:r>
          </w:p>
          <w:p>
            <w:pPr>
              <w:spacing w:before="0" w:after="40" w:line="240" w:lineRule="auto"/>
            </w:pPr>
            <w:r>
              <w:rPr>
                <w:rFonts w:ascii="Calibri" w:hAnsi="Calibri"/>
                <w:b w:val="0"/>
                <w:i w:val="0"/>
                <w:color w:val="21302A"/>
                <w:sz w:val="16"/>
              </w:rPr>
              <w:t>INT5-PRO-01</w:t>
            </w:r>
          </w:p>
          <w:p>
            <w:pPr>
              <w:spacing w:before="0" w:after="40" w:line="240" w:lineRule="auto"/>
            </w:pPr>
            <w:r>
              <w:rPr>
                <w:rFonts w:ascii="Calibri" w:hAnsi="Calibri"/>
                <w:b w:val="0"/>
                <w:i w:val="0"/>
                <w:color w:val="21302A"/>
                <w:sz w:val="16"/>
              </w:rPr>
              <w:t>INT5-INP-01</w:t>
            </w:r>
          </w:p>
          <w:p>
            <w:pPr>
              <w:spacing w:before="0" w:after="40" w:line="240" w:lineRule="auto"/>
            </w:pPr>
            <w:r>
              <w:rPr>
                <w:rFonts w:ascii="Calibri" w:hAnsi="Calibri"/>
                <w:b w:val="0"/>
                <w:i w:val="0"/>
                <w:color w:val="21302A"/>
                <w:sz w:val="16"/>
              </w:rPr>
              <w:t>INT5-COM-01</w:t>
            </w:r>
          </w:p>
        </w:tc>
        <w:tc>
          <w:tcPr>
            <w:tcW w:type="dxa" w:w="5244"/>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5"/>
              </w:rPr>
              <w:t>Outline the principles of risk management and implement risk-reduction procedures (p.47)</w:t>
            </w:r>
          </w:p>
          <w:p>
            <w:pPr>
              <w:spacing w:before="0" w:after="40" w:line="240" w:lineRule="auto"/>
            </w:pPr>
            <w:r>
              <w:rPr>
                <w:rFonts w:ascii="Calibri" w:hAnsi="Calibri"/>
                <w:b w:val="0"/>
                <w:i w:val="0"/>
                <w:color w:val="21302A"/>
                <w:sz w:val="15"/>
              </w:rPr>
              <w:t>Assemble parts and components using fixings, adhesives or clamps to make timber products (p.51)</w:t>
            </w:r>
          </w:p>
          <w:p>
            <w:pPr>
              <w:spacing w:before="0" w:after="40" w:line="240" w:lineRule="auto"/>
            </w:pPr>
            <w:r>
              <w:rPr>
                <w:rFonts w:ascii="Calibri" w:hAnsi="Calibri"/>
                <w:b w:val="0"/>
                <w:i w:val="0"/>
                <w:color w:val="21302A"/>
                <w:sz w:val="15"/>
              </w:rPr>
              <w:t>Propose, apply and evaluate plans for production, using project management tasks and tools (p.48)</w:t>
            </w:r>
          </w:p>
          <w:p>
            <w:pPr>
              <w:spacing w:before="0" w:after="40" w:line="240" w:lineRule="auto"/>
            </w:pPr>
            <w:r>
              <w:rPr>
                <w:rFonts w:ascii="Calibri" w:hAnsi="Calibri"/>
                <w:b w:val="0"/>
                <w:i w:val="0"/>
                <w:color w:val="21302A"/>
                <w:sz w:val="15"/>
              </w:rPr>
              <w:t>Identify and allocate roles for collaborative production processes (p.48)</w:t>
            </w:r>
          </w:p>
          <w:p>
            <w:pPr>
              <w:spacing w:before="0" w:after="40" w:line="240" w:lineRule="auto"/>
            </w:pPr>
            <w:r>
              <w:rPr>
                <w:rFonts w:ascii="Calibri" w:hAnsi="Calibri"/>
                <w:b w:val="0"/>
                <w:i w:val="0"/>
                <w:color w:val="21302A"/>
                <w:sz w:val="15"/>
              </w:rPr>
              <w:t>Outline and apply a quality management system to support production processes including testing, quality assurance and quality control (p.48)</w:t>
            </w:r>
          </w:p>
        </w:tc>
        <w:tc>
          <w:tcPr>
            <w:tcW w:type="dxa" w:w="3855"/>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Weeks 7-8: saved WMS, hardware and dry-assembly responses.</w:t>
            </w:r>
          </w:p>
          <w:p>
            <w:pPr>
              <w:spacing w:before="0" w:after="40" w:line="240" w:lineRule="auto"/>
            </w:pPr>
            <w:r>
              <w:rPr>
                <w:rFonts w:ascii="Calibri" w:hAnsi="Calibri"/>
                <w:b w:val="0"/>
                <w:i w:val="0"/>
                <w:color w:val="21302A"/>
                <w:sz w:val="16"/>
              </w:rPr>
              <w:t>Teacher observation: paired handling, role allocation and clearance checks.</w:t>
            </w:r>
          </w:p>
        </w:tc>
      </w:tr>
      <w:tr>
        <w:tc>
          <w:tcPr>
            <w:tcW w:type="dxa" w:w="822"/>
            <w:shd w:fill="FFFFFF"/>
            <w:vAlign w:val="center"/>
            <w:tcMar>
              <w:top w:w="80" w:type="dxa"/>
              <w:start w:w="120" w:type="dxa"/>
              <w:bottom w:w="80" w:type="dxa"/>
              <w:end w:w="120" w:type="dxa"/>
            </w:tcMar>
          </w:tcPr>
          <w:p>
            <w:pPr>
              <w:spacing w:before="0" w:after="40" w:line="240" w:lineRule="auto"/>
            </w:pPr>
            <w:r/>
            <w:r>
              <w:rPr>
                <w:rFonts w:ascii="Calibri" w:hAnsi="Calibri"/>
                <w:b/>
                <w:i w:val="0"/>
                <w:color w:val="10372B"/>
                <w:sz w:val="17"/>
              </w:rPr>
              <w:t>9-10</w:t>
            </w:r>
          </w:p>
        </w:tc>
        <w:tc>
          <w:tcPr>
            <w:tcW w:type="dxa" w:w="2835"/>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7"/>
              </w:rPr>
              <w:t>Design criteria, approved variation, third-angle orthogonal drawing, CAD workflow, constraints, dimensions and revision control.</w:t>
            </w:r>
          </w:p>
        </w:tc>
        <w:tc>
          <w:tcPr>
            <w:tcW w:type="dxa" w:w="1757"/>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INT5-DES-01</w:t>
            </w:r>
          </w:p>
          <w:p>
            <w:pPr>
              <w:spacing w:before="0" w:after="40" w:line="240" w:lineRule="auto"/>
            </w:pPr>
            <w:r>
              <w:rPr>
                <w:rFonts w:ascii="Calibri" w:hAnsi="Calibri"/>
                <w:b w:val="0"/>
                <w:i w:val="0"/>
                <w:color w:val="21302A"/>
                <w:sz w:val="16"/>
              </w:rPr>
              <w:t>INT5-COM-01</w:t>
            </w:r>
          </w:p>
          <w:p>
            <w:pPr>
              <w:spacing w:before="0" w:after="40" w:line="240" w:lineRule="auto"/>
            </w:pPr>
            <w:r>
              <w:rPr>
                <w:rFonts w:ascii="Calibri" w:hAnsi="Calibri"/>
                <w:b w:val="0"/>
                <w:i w:val="0"/>
                <w:color w:val="21302A"/>
                <w:sz w:val="16"/>
              </w:rPr>
              <w:t>INT5-INP-01</w:t>
            </w:r>
          </w:p>
        </w:tc>
        <w:tc>
          <w:tcPr>
            <w:tcW w:type="dxa" w:w="5244"/>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5"/>
              </w:rPr>
              <w:t>Apply a range of graphical communication techniques including freehand sketching, diagrams, graphs, charts or computer-aided design (CAD) software during project development (p.48)</w:t>
            </w:r>
          </w:p>
          <w:p>
            <w:pPr>
              <w:spacing w:before="0" w:after="40" w:line="240" w:lineRule="auto"/>
            </w:pPr>
            <w:r>
              <w:rPr>
                <w:rFonts w:ascii="Calibri" w:hAnsi="Calibri"/>
                <w:b w:val="0"/>
                <w:i w:val="0"/>
                <w:color w:val="21302A"/>
                <w:sz w:val="15"/>
              </w:rPr>
              <w:t>Propose, apply and evaluate plans for production, using project management tasks and tools (p.48)</w:t>
            </w:r>
          </w:p>
          <w:p>
            <w:pPr>
              <w:spacing w:before="0" w:after="40" w:line="240" w:lineRule="auto"/>
            </w:pPr>
            <w:r>
              <w:rPr>
                <w:rFonts w:ascii="Calibri" w:hAnsi="Calibri"/>
                <w:b w:val="0"/>
                <w:i w:val="0"/>
                <w:color w:val="21302A"/>
                <w:sz w:val="15"/>
              </w:rPr>
              <w:t>Evaluate the effectiveness of design on the quality, function and aesthetics of finished products (p.47)</w:t>
            </w:r>
          </w:p>
        </w:tc>
        <w:tc>
          <w:tcPr>
            <w:tcW w:type="dxa" w:w="3855"/>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Weeks 9-10: saved design comparison and CAD workflow responses.</w:t>
            </w:r>
          </w:p>
          <w:p>
            <w:pPr>
              <w:spacing w:before="0" w:after="40" w:line="240" w:lineRule="auto"/>
            </w:pPr>
            <w:r>
              <w:rPr>
                <w:rFonts w:ascii="Calibri" w:hAnsi="Calibri"/>
                <w:b w:val="0"/>
                <w:i w:val="0"/>
                <w:color w:val="21302A"/>
                <w:sz w:val="16"/>
              </w:rPr>
              <w:t>Student drawing/CAD evidence checked against the supplied plan.</w:t>
            </w:r>
          </w:p>
        </w:tc>
      </w:tr>
      <w:tr>
        <w:tc>
          <w:tcPr>
            <w:tcW w:type="dxa" w:w="822"/>
            <w:shd w:fill="E8F1EC"/>
            <w:vAlign w:val="center"/>
            <w:tcMar>
              <w:top w:w="80" w:type="dxa"/>
              <w:start w:w="120" w:type="dxa"/>
              <w:bottom w:w="80" w:type="dxa"/>
              <w:end w:w="120" w:type="dxa"/>
            </w:tcMar>
          </w:tcPr>
          <w:p>
            <w:pPr>
              <w:spacing w:before="0" w:after="40" w:line="240" w:lineRule="auto"/>
            </w:pPr>
            <w:r/>
            <w:r>
              <w:rPr>
                <w:rFonts w:ascii="Calibri" w:hAnsi="Calibri"/>
                <w:b/>
                <w:i w:val="0"/>
                <w:color w:val="10372B"/>
                <w:sz w:val="17"/>
              </w:rPr>
              <w:t>11-12</w:t>
            </w:r>
          </w:p>
        </w:tc>
        <w:tc>
          <w:tcPr>
            <w:tcW w:type="dxa" w:w="2835"/>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7"/>
              </w:rPr>
              <w:t>Assembly and glue-up sequence, adhesive selection, clamping, square checks, costing and production planning.</w:t>
            </w:r>
          </w:p>
        </w:tc>
        <w:tc>
          <w:tcPr>
            <w:tcW w:type="dxa" w:w="1757"/>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INT5-USE-01</w:t>
            </w:r>
          </w:p>
          <w:p>
            <w:pPr>
              <w:spacing w:before="0" w:after="40" w:line="240" w:lineRule="auto"/>
            </w:pPr>
            <w:r>
              <w:rPr>
                <w:rFonts w:ascii="Calibri" w:hAnsi="Calibri"/>
                <w:b w:val="0"/>
                <w:i w:val="0"/>
                <w:color w:val="21302A"/>
                <w:sz w:val="16"/>
              </w:rPr>
              <w:t>INT5-PRO-01</w:t>
            </w:r>
          </w:p>
          <w:p>
            <w:pPr>
              <w:spacing w:before="0" w:after="40" w:line="240" w:lineRule="auto"/>
            </w:pPr>
            <w:r>
              <w:rPr>
                <w:rFonts w:ascii="Calibri" w:hAnsi="Calibri"/>
                <w:b w:val="0"/>
                <w:i w:val="0"/>
                <w:color w:val="21302A"/>
                <w:sz w:val="16"/>
              </w:rPr>
              <w:t>INT5-INP-01</w:t>
            </w:r>
          </w:p>
          <w:p>
            <w:pPr>
              <w:spacing w:before="0" w:after="40" w:line="240" w:lineRule="auto"/>
            </w:pPr>
            <w:r>
              <w:rPr>
                <w:rFonts w:ascii="Calibri" w:hAnsi="Calibri"/>
                <w:b w:val="0"/>
                <w:i w:val="0"/>
                <w:color w:val="21302A"/>
                <w:sz w:val="16"/>
              </w:rPr>
              <w:t>INT5-COM-01</w:t>
            </w:r>
          </w:p>
        </w:tc>
        <w:tc>
          <w:tcPr>
            <w:tcW w:type="dxa" w:w="5244"/>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5"/>
              </w:rPr>
              <w:t>Assemble parts and components using fixings, adhesives or clamps to make timber products (p.51)</w:t>
            </w:r>
          </w:p>
          <w:p>
            <w:pPr>
              <w:spacing w:before="0" w:after="40" w:line="240" w:lineRule="auto"/>
            </w:pPr>
            <w:r>
              <w:rPr>
                <w:rFonts w:ascii="Calibri" w:hAnsi="Calibri"/>
                <w:b w:val="0"/>
                <w:i w:val="0"/>
                <w:color w:val="21302A"/>
                <w:sz w:val="15"/>
              </w:rPr>
              <w:t>Select and use a range of glues or adhesives to assemble parts and components in timber projects (p.51)</w:t>
            </w:r>
          </w:p>
          <w:p>
            <w:pPr>
              <w:spacing w:before="0" w:after="40" w:line="240" w:lineRule="auto"/>
            </w:pPr>
            <w:r>
              <w:rPr>
                <w:rFonts w:ascii="Calibri" w:hAnsi="Calibri"/>
                <w:b w:val="0"/>
                <w:i w:val="0"/>
                <w:color w:val="21302A"/>
                <w:sz w:val="15"/>
              </w:rPr>
              <w:t>Propose, apply and evaluate plans for production, using project management tasks and tools (p.48)</w:t>
            </w:r>
          </w:p>
          <w:p>
            <w:pPr>
              <w:spacing w:before="0" w:after="40" w:line="240" w:lineRule="auto"/>
            </w:pPr>
            <w:r>
              <w:rPr>
                <w:rFonts w:ascii="Calibri" w:hAnsi="Calibri"/>
                <w:b w:val="0"/>
                <w:i w:val="0"/>
                <w:color w:val="21302A"/>
                <w:sz w:val="15"/>
              </w:rPr>
              <w:t>Identify and allocate roles for collaborative production processes (p.48)</w:t>
            </w:r>
          </w:p>
          <w:p>
            <w:pPr>
              <w:spacing w:before="0" w:after="40" w:line="240" w:lineRule="auto"/>
            </w:pPr>
            <w:r>
              <w:rPr>
                <w:rFonts w:ascii="Calibri" w:hAnsi="Calibri"/>
                <w:b w:val="0"/>
                <w:i w:val="0"/>
                <w:color w:val="21302A"/>
                <w:sz w:val="15"/>
              </w:rPr>
              <w:t>Outline and apply a quality management system to support production processes including testing, quality assurance and quality control (p.48)</w:t>
            </w:r>
          </w:p>
        </w:tc>
        <w:tc>
          <w:tcPr>
            <w:tcW w:type="dxa" w:w="3855"/>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Weeks 11-12: saved adhesive, costing and production-plan responses.</w:t>
            </w:r>
          </w:p>
          <w:p>
            <w:pPr>
              <w:spacing w:before="0" w:after="40" w:line="240" w:lineRule="auto"/>
            </w:pPr>
            <w:r>
              <w:rPr>
                <w:rFonts w:ascii="Calibri" w:hAnsi="Calibri"/>
                <w:b w:val="0"/>
                <w:i w:val="0"/>
                <w:color w:val="21302A"/>
                <w:sz w:val="16"/>
              </w:rPr>
              <w:t>Teacher observation: dry fit, allocated roles, glue-up and square checks.</w:t>
            </w:r>
          </w:p>
        </w:tc>
      </w:tr>
      <w:tr>
        <w:tc>
          <w:tcPr>
            <w:tcW w:type="dxa" w:w="822"/>
            <w:shd w:fill="FFFFFF"/>
            <w:vAlign w:val="center"/>
            <w:tcMar>
              <w:top w:w="80" w:type="dxa"/>
              <w:start w:w="120" w:type="dxa"/>
              <w:bottom w:w="80" w:type="dxa"/>
              <w:end w:w="120" w:type="dxa"/>
            </w:tcMar>
          </w:tcPr>
          <w:p>
            <w:pPr>
              <w:spacing w:before="0" w:after="40" w:line="240" w:lineRule="auto"/>
            </w:pPr>
            <w:r/>
            <w:r>
              <w:rPr>
                <w:rFonts w:ascii="Calibri" w:hAnsi="Calibri"/>
                <w:b/>
                <w:i w:val="0"/>
                <w:color w:val="10372B"/>
                <w:sz w:val="17"/>
              </w:rPr>
              <w:t>13-14</w:t>
            </w:r>
          </w:p>
        </w:tc>
        <w:tc>
          <w:tcPr>
            <w:tcW w:type="dxa" w:w="2835"/>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7"/>
              </w:rPr>
              <w:t>Surface preparation, defect diagnosis, finish selection, industry-quality expectations and tool/workshop care.</w:t>
            </w:r>
          </w:p>
        </w:tc>
        <w:tc>
          <w:tcPr>
            <w:tcW w:type="dxa" w:w="1757"/>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INT5-USE-01</w:t>
            </w:r>
          </w:p>
          <w:p>
            <w:pPr>
              <w:spacing w:before="0" w:after="40" w:line="240" w:lineRule="auto"/>
            </w:pPr>
            <w:r>
              <w:rPr>
                <w:rFonts w:ascii="Calibri" w:hAnsi="Calibri"/>
                <w:b w:val="0"/>
                <w:i w:val="0"/>
                <w:color w:val="21302A"/>
                <w:sz w:val="16"/>
              </w:rPr>
              <w:t>INT5-PRO-01</w:t>
            </w:r>
          </w:p>
          <w:p>
            <w:pPr>
              <w:spacing w:before="0" w:after="40" w:line="240" w:lineRule="auto"/>
            </w:pPr>
            <w:r>
              <w:rPr>
                <w:rFonts w:ascii="Calibri" w:hAnsi="Calibri"/>
                <w:b w:val="0"/>
                <w:i w:val="0"/>
                <w:color w:val="21302A"/>
                <w:sz w:val="16"/>
              </w:rPr>
              <w:t>INT5-IND-01</w:t>
            </w:r>
          </w:p>
          <w:p>
            <w:pPr>
              <w:spacing w:before="0" w:after="40" w:line="240" w:lineRule="auto"/>
            </w:pPr>
            <w:r>
              <w:rPr>
                <w:rFonts w:ascii="Calibri" w:hAnsi="Calibri"/>
                <w:b w:val="0"/>
                <w:i w:val="0"/>
                <w:color w:val="21302A"/>
                <w:sz w:val="16"/>
              </w:rPr>
              <w:t>INT5-EVL-01</w:t>
            </w:r>
          </w:p>
        </w:tc>
        <w:tc>
          <w:tcPr>
            <w:tcW w:type="dxa" w:w="5244"/>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5"/>
              </w:rPr>
              <w:t>Use hand tools, power tools, machinery, chemicals and abrasives to prepare timber surfaces for the application of finishes (p.52)</w:t>
            </w:r>
          </w:p>
          <w:p>
            <w:pPr>
              <w:spacing w:before="0" w:after="40" w:line="240" w:lineRule="auto"/>
            </w:pPr>
            <w:r>
              <w:rPr>
                <w:rFonts w:ascii="Calibri" w:hAnsi="Calibri"/>
                <w:b w:val="0"/>
                <w:i w:val="0"/>
                <w:color w:val="21302A"/>
                <w:sz w:val="15"/>
              </w:rPr>
              <w:t>Investigate and apply work and enterprise skills required in the timber industry (p.52)</w:t>
            </w:r>
          </w:p>
          <w:p>
            <w:pPr>
              <w:spacing w:before="0" w:after="40" w:line="240" w:lineRule="auto"/>
            </w:pPr>
            <w:r>
              <w:rPr>
                <w:rFonts w:ascii="Calibri" w:hAnsi="Calibri"/>
                <w:b w:val="0"/>
                <w:i w:val="0"/>
                <w:color w:val="21302A"/>
                <w:sz w:val="15"/>
              </w:rPr>
              <w:t>Maintain hand tools and equipment, including cleaning, lubricating or replacing consumables, such as blades, bits and abrasives (p.50)</w:t>
            </w:r>
          </w:p>
          <w:p>
            <w:pPr>
              <w:spacing w:before="0" w:after="40" w:line="240" w:lineRule="auto"/>
            </w:pPr>
            <w:r>
              <w:rPr>
                <w:rFonts w:ascii="Calibri" w:hAnsi="Calibri"/>
                <w:b w:val="0"/>
                <w:i w:val="0"/>
                <w:color w:val="21302A"/>
                <w:sz w:val="15"/>
              </w:rPr>
              <w:t>Evaluate the impact of manufacturing processes on the quality of finished timber products (p.52)</w:t>
            </w:r>
          </w:p>
        </w:tc>
        <w:tc>
          <w:tcPr>
            <w:tcW w:type="dxa" w:w="3855"/>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Weeks 13-14: saved surface, finish and industry-quality responses.</w:t>
            </w:r>
          </w:p>
          <w:p>
            <w:pPr>
              <w:spacing w:before="0" w:after="40" w:line="240" w:lineRule="auto"/>
            </w:pPr>
            <w:r>
              <w:rPr>
                <w:rFonts w:ascii="Calibri" w:hAnsi="Calibri"/>
                <w:b w:val="0"/>
                <w:i w:val="0"/>
                <w:color w:val="21302A"/>
                <w:sz w:val="16"/>
              </w:rPr>
              <w:t>Teacher observation: staged preparation and inspection.</w:t>
            </w:r>
          </w:p>
        </w:tc>
      </w:tr>
      <w:tr>
        <w:tc>
          <w:tcPr>
            <w:tcW w:type="dxa" w:w="822"/>
            <w:shd w:fill="E8F1EC"/>
            <w:vAlign w:val="center"/>
            <w:tcMar>
              <w:top w:w="80" w:type="dxa"/>
              <w:start w:w="120" w:type="dxa"/>
              <w:bottom w:w="80" w:type="dxa"/>
              <w:end w:w="120" w:type="dxa"/>
            </w:tcMar>
          </w:tcPr>
          <w:p>
            <w:pPr>
              <w:spacing w:before="0" w:after="40" w:line="240" w:lineRule="auto"/>
            </w:pPr>
            <w:r/>
            <w:r>
              <w:rPr>
                <w:rFonts w:ascii="Calibri" w:hAnsi="Calibri"/>
                <w:b/>
                <w:i w:val="0"/>
                <w:color w:val="10372B"/>
                <w:sz w:val="17"/>
              </w:rPr>
              <w:t>15-16</w:t>
            </w:r>
          </w:p>
        </w:tc>
        <w:tc>
          <w:tcPr>
            <w:tcW w:type="dxa" w:w="2835"/>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7"/>
              </w:rPr>
              <w:t>Product label and SDS use, hierarchy of controls, finish application, responsible waste and product lifecycle.</w:t>
            </w:r>
          </w:p>
        </w:tc>
        <w:tc>
          <w:tcPr>
            <w:tcW w:type="dxa" w:w="1757"/>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INT5-SAF-01</w:t>
            </w:r>
          </w:p>
          <w:p>
            <w:pPr>
              <w:spacing w:before="0" w:after="40" w:line="240" w:lineRule="auto"/>
            </w:pPr>
            <w:r>
              <w:rPr>
                <w:rFonts w:ascii="Calibri" w:hAnsi="Calibri"/>
                <w:b w:val="0"/>
                <w:i w:val="0"/>
                <w:color w:val="21302A"/>
                <w:sz w:val="16"/>
              </w:rPr>
              <w:t>INT5-PRO-01</w:t>
            </w:r>
          </w:p>
          <w:p>
            <w:pPr>
              <w:spacing w:before="0" w:after="40" w:line="240" w:lineRule="auto"/>
            </w:pPr>
            <w:r>
              <w:rPr>
                <w:rFonts w:ascii="Calibri" w:hAnsi="Calibri"/>
                <w:b w:val="0"/>
                <w:i w:val="0"/>
                <w:color w:val="21302A"/>
                <w:sz w:val="16"/>
              </w:rPr>
              <w:t>INT5-ENV-01</w:t>
            </w:r>
          </w:p>
          <w:p>
            <w:pPr>
              <w:spacing w:before="0" w:after="40" w:line="240" w:lineRule="auto"/>
            </w:pPr>
            <w:r>
              <w:rPr>
                <w:rFonts w:ascii="Calibri" w:hAnsi="Calibri"/>
                <w:b w:val="0"/>
                <w:i w:val="0"/>
                <w:color w:val="21302A"/>
                <w:sz w:val="16"/>
              </w:rPr>
              <w:t>INT5-COM-01</w:t>
            </w:r>
          </w:p>
        </w:tc>
        <w:tc>
          <w:tcPr>
            <w:tcW w:type="dxa" w:w="5244"/>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5"/>
              </w:rPr>
              <w:t>Recognise and comply with work health and safety (WHS) documentation and signage, and follow WHS rules when designing or producing (p.47)</w:t>
            </w:r>
          </w:p>
          <w:p>
            <w:pPr>
              <w:spacing w:before="0" w:after="40" w:line="240" w:lineRule="auto"/>
            </w:pPr>
            <w:r>
              <w:rPr>
                <w:rFonts w:ascii="Calibri" w:hAnsi="Calibri"/>
                <w:b w:val="0"/>
                <w:i w:val="0"/>
                <w:color w:val="21302A"/>
                <w:sz w:val="15"/>
              </w:rPr>
              <w:t>Perform safe set-up of tools and equipment, relevant to the project, including inspecting and adjusting guards before use, following standard operating procedures (SOPs) and safety data sheets (SDSs), calculating speed and feed rates for machine processes, securing work pieces, ensuring battery and cable care, or using dust control measures (p.50)</w:t>
            </w:r>
          </w:p>
          <w:p>
            <w:pPr>
              <w:spacing w:before="0" w:after="40" w:line="240" w:lineRule="auto"/>
            </w:pPr>
            <w:r>
              <w:rPr>
                <w:rFonts w:ascii="Calibri" w:hAnsi="Calibri"/>
                <w:b w:val="0"/>
                <w:i w:val="0"/>
                <w:color w:val="21302A"/>
                <w:sz w:val="15"/>
              </w:rPr>
              <w:t>Use hand tools, power tools, machinery, chemicals and abrasives to prepare timber surfaces for the application of finishes (p.52)</w:t>
            </w:r>
          </w:p>
          <w:p>
            <w:pPr>
              <w:spacing w:before="0" w:after="40" w:line="240" w:lineRule="auto"/>
            </w:pPr>
            <w:r>
              <w:rPr>
                <w:rFonts w:ascii="Calibri" w:hAnsi="Calibri"/>
                <w:b w:val="0"/>
                <w:i w:val="0"/>
                <w:color w:val="21302A"/>
                <w:sz w:val="15"/>
              </w:rPr>
              <w:t>Identify sustainable materials, technologies and practices when designing projects (p.47)</w:t>
            </w:r>
          </w:p>
          <w:p>
            <w:pPr>
              <w:spacing w:before="0" w:after="40" w:line="240" w:lineRule="auto"/>
            </w:pPr>
            <w:r>
              <w:rPr>
                <w:rFonts w:ascii="Calibri" w:hAnsi="Calibri"/>
                <w:b w:val="0"/>
                <w:i w:val="0"/>
                <w:color w:val="21302A"/>
                <w:sz w:val="15"/>
              </w:rPr>
              <w:t>Create written texts to document, reflect on and evaluate project development, production and management processes (p.48)</w:t>
            </w:r>
          </w:p>
        </w:tc>
        <w:tc>
          <w:tcPr>
            <w:tcW w:type="dxa" w:w="3855"/>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Weeks 15-16: saved SDS, controls and lifecycle-impact responses.</w:t>
            </w:r>
          </w:p>
          <w:p>
            <w:pPr>
              <w:spacing w:before="0" w:after="40" w:line="240" w:lineRule="auto"/>
            </w:pPr>
            <w:r>
              <w:rPr>
                <w:rFonts w:ascii="Calibri" w:hAnsi="Calibri"/>
                <w:b w:val="0"/>
                <w:i w:val="0"/>
                <w:color w:val="21302A"/>
                <w:sz w:val="16"/>
              </w:rPr>
              <w:t>Teacher observation: approved finishing procedure and waste handling.</w:t>
            </w:r>
          </w:p>
        </w:tc>
      </w:tr>
      <w:tr>
        <w:tc>
          <w:tcPr>
            <w:tcW w:type="dxa" w:w="822"/>
            <w:shd w:fill="FFFFFF"/>
            <w:vAlign w:val="center"/>
            <w:tcMar>
              <w:top w:w="80" w:type="dxa"/>
              <w:start w:w="120" w:type="dxa"/>
              <w:bottom w:w="80" w:type="dxa"/>
              <w:end w:w="120" w:type="dxa"/>
            </w:tcMar>
          </w:tcPr>
          <w:p>
            <w:pPr>
              <w:spacing w:before="0" w:after="40" w:line="240" w:lineRule="auto"/>
            </w:pPr>
            <w:r/>
            <w:r>
              <w:rPr>
                <w:rFonts w:ascii="Calibri" w:hAnsi="Calibri"/>
                <w:b/>
                <w:i w:val="0"/>
                <w:color w:val="10372B"/>
                <w:sz w:val="17"/>
              </w:rPr>
              <w:t>17-18</w:t>
            </w:r>
          </w:p>
        </w:tc>
        <w:tc>
          <w:tcPr>
            <w:tcW w:type="dxa" w:w="2835"/>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7"/>
              </w:rPr>
              <w:t>Authentic portfolio evidence, annotated photographs, criterion-based evaluation, fault explanation and improvement planning.</w:t>
            </w:r>
          </w:p>
        </w:tc>
        <w:tc>
          <w:tcPr>
            <w:tcW w:type="dxa" w:w="1757"/>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INT5-COM-01</w:t>
            </w:r>
          </w:p>
          <w:p>
            <w:pPr>
              <w:spacing w:before="0" w:after="40" w:line="240" w:lineRule="auto"/>
            </w:pPr>
            <w:r>
              <w:rPr>
                <w:rFonts w:ascii="Calibri" w:hAnsi="Calibri"/>
                <w:b w:val="0"/>
                <w:i w:val="0"/>
                <w:color w:val="21302A"/>
                <w:sz w:val="16"/>
              </w:rPr>
              <w:t>INT5-EVL-01</w:t>
            </w:r>
          </w:p>
          <w:p>
            <w:pPr>
              <w:spacing w:before="0" w:after="40" w:line="240" w:lineRule="auto"/>
            </w:pPr>
            <w:r>
              <w:rPr>
                <w:rFonts w:ascii="Calibri" w:hAnsi="Calibri"/>
                <w:b w:val="0"/>
                <w:i w:val="0"/>
                <w:color w:val="21302A"/>
                <w:sz w:val="16"/>
              </w:rPr>
              <w:t>INT5-INP-01</w:t>
            </w:r>
          </w:p>
        </w:tc>
        <w:tc>
          <w:tcPr>
            <w:tcW w:type="dxa" w:w="5244"/>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5"/>
              </w:rPr>
              <w:t>Create written texts to document, reflect on and evaluate project development, production and management processes (p.48)</w:t>
            </w:r>
          </w:p>
          <w:p>
            <w:pPr>
              <w:spacing w:before="0" w:after="40" w:line="240" w:lineRule="auto"/>
            </w:pPr>
            <w:r>
              <w:rPr>
                <w:rFonts w:ascii="Calibri" w:hAnsi="Calibri"/>
                <w:b w:val="0"/>
                <w:i w:val="0"/>
                <w:color w:val="21302A"/>
                <w:sz w:val="15"/>
              </w:rPr>
              <w:t>Evaluate the effectiveness of design on the quality, function and aesthetics of finished products (p.47)</w:t>
            </w:r>
          </w:p>
          <w:p>
            <w:pPr>
              <w:spacing w:before="0" w:after="40" w:line="240" w:lineRule="auto"/>
            </w:pPr>
            <w:r>
              <w:rPr>
                <w:rFonts w:ascii="Calibri" w:hAnsi="Calibri"/>
                <w:b w:val="0"/>
                <w:i w:val="0"/>
                <w:color w:val="21302A"/>
                <w:sz w:val="15"/>
              </w:rPr>
              <w:t>Outline and apply a quality management system to support production processes including testing, quality assurance and quality control (p.48)</w:t>
            </w:r>
          </w:p>
        </w:tc>
        <w:tc>
          <w:tcPr>
            <w:tcW w:type="dxa" w:w="3855"/>
            <w:shd w:fill="FFFFFF"/>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Weeks 17-18: saved evidence-selection and evaluation responses.</w:t>
            </w:r>
          </w:p>
          <w:p>
            <w:pPr>
              <w:spacing w:before="0" w:after="40" w:line="240" w:lineRule="auto"/>
            </w:pPr>
            <w:r>
              <w:rPr>
                <w:rFonts w:ascii="Calibri" w:hAnsi="Calibri"/>
                <w:b w:val="0"/>
                <w:i w:val="0"/>
                <w:color w:val="21302A"/>
                <w:sz w:val="16"/>
              </w:rPr>
              <w:t>folding-chair-folio.html: staged printable evidence.</w:t>
            </w:r>
          </w:p>
        </w:tc>
      </w:tr>
      <w:tr>
        <w:tc>
          <w:tcPr>
            <w:tcW w:type="dxa" w:w="822"/>
            <w:shd w:fill="E8F1EC"/>
            <w:vAlign w:val="center"/>
            <w:tcMar>
              <w:top w:w="80" w:type="dxa"/>
              <w:start w:w="120" w:type="dxa"/>
              <w:bottom w:w="80" w:type="dxa"/>
              <w:end w:w="120" w:type="dxa"/>
            </w:tcMar>
          </w:tcPr>
          <w:p>
            <w:pPr>
              <w:spacing w:before="0" w:after="40" w:line="240" w:lineRule="auto"/>
            </w:pPr>
            <w:r/>
            <w:r>
              <w:rPr>
                <w:rFonts w:ascii="Calibri" w:hAnsi="Calibri"/>
                <w:b/>
                <w:i w:val="0"/>
                <w:color w:val="10372B"/>
                <w:sz w:val="17"/>
              </w:rPr>
              <w:t>19-20</w:t>
            </w:r>
          </w:p>
        </w:tc>
        <w:tc>
          <w:tcPr>
            <w:tcW w:type="dxa" w:w="2835"/>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7"/>
              </w:rPr>
              <w:t>Final quality assurance, submission check, reflection, transferable learning, workshop handover and maintenance.</w:t>
            </w:r>
          </w:p>
        </w:tc>
        <w:tc>
          <w:tcPr>
            <w:tcW w:type="dxa" w:w="1757"/>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INT5-SAF-01</w:t>
            </w:r>
          </w:p>
          <w:p>
            <w:pPr>
              <w:spacing w:before="0" w:after="40" w:line="240" w:lineRule="auto"/>
            </w:pPr>
            <w:r>
              <w:rPr>
                <w:rFonts w:ascii="Calibri" w:hAnsi="Calibri"/>
                <w:b w:val="0"/>
                <w:i w:val="0"/>
                <w:color w:val="21302A"/>
                <w:sz w:val="16"/>
              </w:rPr>
              <w:t>INT5-INP-01</w:t>
            </w:r>
          </w:p>
          <w:p>
            <w:pPr>
              <w:spacing w:before="0" w:after="40" w:line="240" w:lineRule="auto"/>
            </w:pPr>
            <w:r>
              <w:rPr>
                <w:rFonts w:ascii="Calibri" w:hAnsi="Calibri"/>
                <w:b w:val="0"/>
                <w:i w:val="0"/>
                <w:color w:val="21302A"/>
                <w:sz w:val="16"/>
              </w:rPr>
              <w:t>INT5-COM-01</w:t>
            </w:r>
          </w:p>
          <w:p>
            <w:pPr>
              <w:spacing w:before="0" w:after="40" w:line="240" w:lineRule="auto"/>
            </w:pPr>
            <w:r>
              <w:rPr>
                <w:rFonts w:ascii="Calibri" w:hAnsi="Calibri"/>
                <w:b w:val="0"/>
                <w:i w:val="0"/>
                <w:color w:val="21302A"/>
                <w:sz w:val="16"/>
              </w:rPr>
              <w:t>INT5-EVL-01</w:t>
            </w:r>
          </w:p>
          <w:p>
            <w:pPr>
              <w:spacing w:before="0" w:after="40" w:line="240" w:lineRule="auto"/>
            </w:pPr>
            <w:r>
              <w:rPr>
                <w:rFonts w:ascii="Calibri" w:hAnsi="Calibri"/>
                <w:b w:val="0"/>
                <w:i w:val="0"/>
                <w:color w:val="21302A"/>
                <w:sz w:val="16"/>
              </w:rPr>
              <w:t>INT5-IND-01</w:t>
            </w:r>
          </w:p>
        </w:tc>
        <w:tc>
          <w:tcPr>
            <w:tcW w:type="dxa" w:w="5244"/>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5"/>
              </w:rPr>
              <w:t>Outline and apply a quality management system to support production processes including testing, quality assurance and quality control (p.48)</w:t>
            </w:r>
          </w:p>
          <w:p>
            <w:pPr>
              <w:spacing w:before="0" w:after="40" w:line="240" w:lineRule="auto"/>
            </w:pPr>
            <w:r>
              <w:rPr>
                <w:rFonts w:ascii="Calibri" w:hAnsi="Calibri"/>
                <w:b w:val="0"/>
                <w:i w:val="0"/>
                <w:color w:val="21302A"/>
                <w:sz w:val="15"/>
              </w:rPr>
              <w:t>Create written texts to document, reflect on and evaluate project development, production and management processes (p.48)</w:t>
            </w:r>
          </w:p>
          <w:p>
            <w:pPr>
              <w:spacing w:before="0" w:after="40" w:line="240" w:lineRule="auto"/>
            </w:pPr>
            <w:r>
              <w:rPr>
                <w:rFonts w:ascii="Calibri" w:hAnsi="Calibri"/>
                <w:b w:val="0"/>
                <w:i w:val="0"/>
                <w:color w:val="21302A"/>
                <w:sz w:val="15"/>
              </w:rPr>
              <w:t>Evaluate the effectiveness of design on the quality, function and aesthetics of finished products (p.47)</w:t>
            </w:r>
          </w:p>
          <w:p>
            <w:pPr>
              <w:spacing w:before="0" w:after="40" w:line="240" w:lineRule="auto"/>
            </w:pPr>
            <w:r>
              <w:rPr>
                <w:rFonts w:ascii="Calibri" w:hAnsi="Calibri"/>
                <w:b w:val="0"/>
                <w:i w:val="0"/>
                <w:color w:val="21302A"/>
                <w:sz w:val="15"/>
              </w:rPr>
              <w:t>Maintain hand tools and equipment, including cleaning, lubricating or replacing consumables, such as blades, bits and abrasives (p.50)</w:t>
            </w:r>
          </w:p>
          <w:p>
            <w:pPr>
              <w:spacing w:before="0" w:after="40" w:line="240" w:lineRule="auto"/>
            </w:pPr>
            <w:r>
              <w:rPr>
                <w:rFonts w:ascii="Calibri" w:hAnsi="Calibri"/>
                <w:b w:val="0"/>
                <w:i w:val="0"/>
                <w:color w:val="21302A"/>
                <w:sz w:val="15"/>
              </w:rPr>
              <w:t>Investigate and apply work and enterprise skills required in the timber industry (p.52)</w:t>
            </w:r>
          </w:p>
        </w:tc>
        <w:tc>
          <w:tcPr>
            <w:tcW w:type="dxa" w:w="3855"/>
            <w:shd w:fill="E8F1EC"/>
            <w:vAlign w:val="center"/>
            <w:tcMar>
              <w:top w:w="80" w:type="dxa"/>
              <w:start w:w="120" w:type="dxa"/>
              <w:bottom w:w="80" w:type="dxa"/>
              <w:end w:w="120" w:type="dxa"/>
            </w:tcMar>
          </w:tcPr>
          <w:p>
            <w:pPr>
              <w:spacing w:before="0" w:after="40" w:line="240" w:lineRule="auto"/>
            </w:pPr>
            <w:r/>
            <w:r>
              <w:rPr>
                <w:rFonts w:ascii="Calibri" w:hAnsi="Calibri"/>
                <w:b w:val="0"/>
                <w:i w:val="0"/>
                <w:color w:val="21302A"/>
                <w:sz w:val="16"/>
              </w:rPr>
              <w:t>Weeks 19-20: saved QA, reflection and transfer responses.</w:t>
            </w:r>
          </w:p>
          <w:p>
            <w:pPr>
              <w:spacing w:before="0" w:after="40" w:line="240" w:lineRule="auto"/>
            </w:pPr>
            <w:r>
              <w:rPr>
                <w:rFonts w:ascii="Calibri" w:hAnsi="Calibri"/>
                <w:b w:val="0"/>
                <w:i w:val="0"/>
                <w:color w:val="21302A"/>
                <w:sz w:val="16"/>
              </w:rPr>
              <w:t>Teacher observation: functional check, safe handover and final workmanship.</w:t>
            </w:r>
          </w:p>
        </w:tc>
      </w:tr>
    </w:tbl>
    <w:p>
      <w:pPr>
        <w:pStyle w:val="Heading1"/>
      </w:pPr>
      <w:r>
        <w:t>Resources and controls</w:t>
      </w:r>
    </w:p>
    <w:tbl>
      <w:tblPr>
        <w:tblW w:type="dxa" w:w="14513"/>
        <w:jc w:val="center"/>
        <w:tblLayout w:type="fixed"/>
        <w:tblLook w:firstColumn="1" w:firstRow="1" w:lastColumn="0" w:lastRow="0" w:noHBand="0" w:noVBand="1" w:val="04A0"/>
        <w:tblInd w:w="120" w:type="dxa"/>
      </w:tblPr>
      <w:tblGrid>
        <w:gridCol w:w="2381"/>
        <w:gridCol w:w="12132"/>
      </w:tblGrid>
      <w:tr>
        <w:tc>
          <w:tcPr>
            <w:tcW w:type="dxa" w:w="2381"/>
            <w:tcMar>
              <w:top w:w="80" w:type="dxa"/>
              <w:start w:w="120" w:type="dxa"/>
              <w:bottom w:w="80" w:type="dxa"/>
              <w:end w:w="120" w:type="dxa"/>
            </w:tcMar>
            <w:shd w:fill="174D3A"/>
            <w:vAlign w:val="center"/>
          </w:tcPr>
          <w:p>
            <w:pPr>
              <w:spacing w:before="0" w:after="40" w:line="240" w:lineRule="auto"/>
            </w:pPr>
            <w:r/>
            <w:r>
              <w:rPr>
                <w:rFonts w:ascii="Calibri" w:hAnsi="Calibri"/>
                <w:b/>
                <w:i w:val="0"/>
                <w:color w:val="FFFFFF"/>
                <w:sz w:val="18"/>
              </w:rPr>
              <w:t>Verified resources</w:t>
            </w:r>
          </w:p>
        </w:tc>
        <w:tc>
          <w:tcPr>
            <w:tcW w:type="dxa" w:w="12132"/>
            <w:tcMar>
              <w:top w:w="80" w:type="dxa"/>
              <w:start w:w="120" w:type="dxa"/>
              <w:bottom w:w="80" w:type="dxa"/>
              <w:end w:w="120" w:type="dxa"/>
            </w:tcMar>
            <w:vAlign w:val="center"/>
          </w:tcPr>
          <w:p>
            <w:pPr>
              <w:spacing w:before="0" w:after="40" w:line="240" w:lineRule="auto"/>
            </w:pPr>
            <w:r/>
            <w:r>
              <w:rPr>
                <w:rFonts w:ascii="Calibri" w:hAnsi="Calibri"/>
                <w:b w:val="0"/>
                <w:i w:val="0"/>
                <w:color w:val="21302A"/>
                <w:sz w:val="18"/>
              </w:rPr>
              <w:t>Live course: https://stevencowell.github.io/folding-chair-guided-course/</w:t>
            </w:r>
          </w:p>
          <w:p>
            <w:pPr>
              <w:spacing w:before="0" w:after="40" w:line="240" w:lineRule="auto"/>
            </w:pPr>
            <w:r>
              <w:rPr>
                <w:rFonts w:ascii="Calibri" w:hAnsi="Calibri"/>
                <w:b w:val="0"/>
                <w:i w:val="0"/>
                <w:color w:val="21302A"/>
                <w:sz w:val="18"/>
              </w:rPr>
              <w:t>Project plans: Folding-Chair-Project-Plans.pdf, linked from the live course.</w:t>
            </w:r>
          </w:p>
          <w:p>
            <w:pPr>
              <w:spacing w:before="0" w:after="40" w:line="240" w:lineRule="auto"/>
            </w:pPr>
            <w:r>
              <w:rPr>
                <w:rFonts w:ascii="Calibri" w:hAnsi="Calibri"/>
                <w:b w:val="0"/>
                <w:i w:val="0"/>
                <w:color w:val="21302A"/>
                <w:sz w:val="18"/>
              </w:rPr>
              <w:t>Active evidence: ten paired-week modules and folding-chair-folio.html.</w:t>
            </w:r>
          </w:p>
          <w:p>
            <w:pPr>
              <w:spacing w:before="0" w:after="40" w:line="240" w:lineRule="auto"/>
            </w:pPr>
            <w:r>
              <w:rPr>
                <w:rFonts w:ascii="Calibri" w:hAnsi="Calibri"/>
                <w:b w:val="0"/>
                <w:i w:val="0"/>
                <w:color w:val="21302A"/>
                <w:sz w:val="18"/>
              </w:rPr>
              <w:t>Safety support: the project-linked example SDS and current school SOP/SDS directions.</w:t>
            </w:r>
          </w:p>
        </w:tc>
      </w:tr>
      <w:tr>
        <w:tc>
          <w:tcPr>
            <w:tcW w:type="dxa" w:w="2381"/>
            <w:tcMar>
              <w:top w:w="80" w:type="dxa"/>
              <w:start w:w="120" w:type="dxa"/>
              <w:bottom w:w="80" w:type="dxa"/>
              <w:end w:w="120" w:type="dxa"/>
            </w:tcMar>
            <w:shd w:fill="A86532"/>
            <w:vAlign w:val="center"/>
          </w:tcPr>
          <w:p>
            <w:pPr>
              <w:spacing w:before="0" w:after="40" w:line="240" w:lineRule="auto"/>
            </w:pPr>
            <w:r/>
            <w:r>
              <w:rPr>
                <w:rFonts w:ascii="Calibri" w:hAnsi="Calibri"/>
                <w:b/>
                <w:i w:val="0"/>
                <w:color w:val="FFFFFF"/>
                <w:sz w:val="18"/>
              </w:rPr>
              <w:t>Teacher controls / unresolved local decisions</w:t>
            </w:r>
          </w:p>
        </w:tc>
        <w:tc>
          <w:tcPr>
            <w:tcW w:type="dxa" w:w="12132"/>
            <w:tcMar>
              <w:top w:w="80" w:type="dxa"/>
              <w:start w:w="120" w:type="dxa"/>
              <w:bottom w:w="80" w:type="dxa"/>
              <w:end w:w="120" w:type="dxa"/>
            </w:tcMar>
            <w:vAlign w:val="center"/>
          </w:tcPr>
          <w:p>
            <w:pPr>
              <w:spacing w:before="0" w:after="40" w:line="240" w:lineRule="auto"/>
            </w:pPr>
            <w:r/>
            <w:r>
              <w:rPr>
                <w:rFonts w:ascii="Calibri" w:hAnsi="Calibri"/>
                <w:b w:val="0"/>
                <w:i w:val="0"/>
                <w:color w:val="21302A"/>
                <w:sz w:val="18"/>
              </w:rPr>
              <w:t>Folding Chair remains provisional/developing until Steve confirms its formal program status and placement.</w:t>
            </w:r>
          </w:p>
          <w:p>
            <w:pPr>
              <w:spacing w:before="0" w:after="40" w:line="240" w:lineRule="auto"/>
            </w:pPr>
            <w:r>
              <w:rPr>
                <w:rFonts w:ascii="Calibri" w:hAnsi="Calibri"/>
                <w:b w:val="0"/>
                <w:i w:val="0"/>
                <w:color w:val="21302A"/>
                <w:sz w:val="18"/>
              </w:rPr>
              <w:t>No assessment date or weighting is included because none was supplied and verified.</w:t>
            </w:r>
          </w:p>
          <w:p>
            <w:pPr>
              <w:spacing w:before="0" w:after="40" w:line="240" w:lineRule="auto"/>
            </w:pPr>
            <w:r>
              <w:rPr>
                <w:rFonts w:ascii="Calibri" w:hAnsi="Calibri"/>
                <w:b w:val="0"/>
                <w:i w:val="0"/>
                <w:color w:val="21302A"/>
                <w:sz w:val="18"/>
              </w:rPr>
              <w:t>Hardware, moving clearances, structural quality and safe machine use must be checked directly by the teacher.</w:t>
            </w:r>
          </w:p>
          <w:p>
            <w:pPr>
              <w:spacing w:before="0" w:after="40" w:line="240" w:lineRule="auto"/>
            </w:pPr>
            <w:r>
              <w:rPr>
                <w:rFonts w:ascii="Calibri" w:hAnsi="Calibri"/>
                <w:b w:val="0"/>
                <w:i w:val="0"/>
                <w:color w:val="21302A"/>
                <w:sz w:val="18"/>
              </w:rPr>
              <w:t>The supplied plan and teacher direction override any generic webpage explanation.</w:t>
            </w:r>
          </w:p>
        </w:tc>
      </w:tr>
    </w:tbl>
    <w:p>
      <w:pPr>
        <w:spacing w:before="160"/>
      </w:pPr>
      <w:r>
        <w:rPr>
          <w:rFonts w:ascii="Calibri" w:hAnsi="Calibri"/>
          <w:b w:val="0"/>
          <w:i/>
          <w:color w:val="5E6B65"/>
          <w:sz w:val="17"/>
        </w:rPr>
        <w:t>Source note: Folding Chair is a local program addition built from the supplied future Timber program statements and the verified live project course. It is not presented as part of the original supplied 2025 master program.</w:t>
      </w:r>
    </w:p>
    <w:sectPr w:rsidR="00FC693F" w:rsidRPr="0006063C" w:rsidSect="00034616">
      <w:headerReference w:type="default" r:id="rId9"/>
      <w:footerReference w:type="default" r:id="rId10"/>
      <w:pgSz w:w="16838" w:h="11906" w:orient="landscape"/>
      <w:pgMar w:top="765" w:right="992" w:bottom="765" w:left="99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B65"/>
        <w:sz w:val="16"/>
      </w:rPr>
      <w:t>Wagga Wagga High School  |  Prepared 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E6B65"/>
        <w:sz w:val="17"/>
      </w:rPr>
      <w:t>YEAR 9-10 TIMBER  |  LOCAL PROGRAM ADDITION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4D3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4D3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4D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