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10372B"/>
          <w:sz w:val="48"/>
        </w:rPr>
        <w:t>Small Box - Stage 5 Timber Program</w:t>
      </w:r>
    </w:p>
    <w:p>
      <w:pPr>
        <w:spacing w:after="200"/>
      </w:pPr>
      <w:r>
        <w:rPr>
          <w:rFonts w:ascii="Calibri" w:hAnsi="Calibri"/>
          <w:b w:val="0"/>
          <w:i/>
          <w:color w:val="5E6B65"/>
          <w:sz w:val="24"/>
        </w:rPr>
        <w:t>New-syllabus local school addition | six-week Year 9 unit</w:t>
      </w:r>
    </w:p>
    <w:tbl>
      <w:tblPr>
        <w:tblW w:type="dxa" w:w="14513"/>
        <w:jc w:val="center"/>
        <w:tblLayout w:type="fixed"/>
        <w:tblLook w:firstColumn="1" w:firstRow="1" w:lastColumn="0" w:lastRow="0" w:noHBand="0" w:noVBand="1" w:val="04A0"/>
        <w:tblInd w:w="120" w:type="dxa"/>
      </w:tblPr>
      <w:tblGrid>
        <w:gridCol w:w="14513"/>
      </w:tblGrid>
      <w:tr>
        <w:tc>
          <w:tcPr>
            <w:tcW w:type="dxa" w:w="14513"/>
            <w:tcMar>
              <w:top w:w="80" w:type="dxa"/>
              <w:start w:w="120" w:type="dxa"/>
              <w:bottom w:w="80" w:type="dxa"/>
              <w:end w:w="120" w:type="dxa"/>
            </w:tcMar>
            <w:shd w:fill="FFF3D6"/>
            <w:vAlign w:val="center"/>
          </w:tcPr>
          <w:p>
            <w:pPr>
              <w:spacing w:before="0" w:after="40" w:line="240" w:lineRule="auto"/>
            </w:pPr>
            <w:r/>
            <w:r>
              <w:rPr>
                <w:rFonts w:ascii="Calibri" w:hAnsi="Calibri"/>
                <w:b/>
                <w:i w:val="0"/>
                <w:color w:val="10372B"/>
                <w:sz w:val="19"/>
              </w:rPr>
              <w:t>Status</w:t>
            </w:r>
          </w:p>
          <w:p>
            <w:pPr>
              <w:spacing w:before="0" w:after="40" w:line="240" w:lineRule="auto"/>
            </w:pPr>
            <w:r>
              <w:rPr>
                <w:rFonts w:ascii="Calibri" w:hAnsi="Calibri"/>
                <w:b w:val="0"/>
                <w:i w:val="0"/>
                <w:color w:val="10372B"/>
                <w:sz w:val="19"/>
              </w:rPr>
              <w:t>This program is a new local addition based on the verified Small Box guided course. It was not named in the supplied 2025 master Timber program.</w:t>
            </w:r>
          </w:p>
        </w:tc>
      </w:tr>
    </w:tbl>
    <w:p>
      <w:pPr>
        <w:spacing w:after="40"/>
      </w:pPr>
    </w:p>
    <w:tbl>
      <w:tblPr>
        <w:tblW w:type="dxa" w:w="14513"/>
        <w:jc w:val="center"/>
        <w:tblLayout w:type="fixed"/>
        <w:tblLook w:firstColumn="1" w:firstRow="1" w:lastColumn="0" w:lastRow="0" w:noHBand="0" w:noVBand="1" w:val="04A0"/>
        <w:tblInd w:w="120" w:type="dxa"/>
      </w:tblPr>
      <w:tblGrid>
        <w:gridCol w:w="2381"/>
        <w:gridCol w:w="12132"/>
      </w:tblGrid>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Indicative placement</w:t>
            </w:r>
          </w:p>
        </w:tc>
        <w:tc>
          <w:tcPr>
            <w:tcW w:type="dxa" w:w="12132"/>
            <w:tcMar>
              <w:top w:w="80" w:type="dxa"/>
              <w:start w:w="120" w:type="dxa"/>
              <w:bottom w:w="80" w:type="dxa"/>
              <w:end w:w="120" w:type="dxa"/>
            </w:tcMar>
            <w:shd w:fill="F7F2E8"/>
            <w:vAlign w:val="center"/>
          </w:tcPr>
          <w:p>
            <w:pPr>
              <w:spacing w:before="0" w:after="40" w:line="240" w:lineRule="auto"/>
            </w:pPr>
            <w:r/>
            <w:r>
              <w:rPr>
                <w:rFonts w:ascii="Calibri" w:hAnsi="Calibri"/>
                <w:b w:val="0"/>
                <w:i w:val="0"/>
                <w:color w:val="21302A"/>
                <w:sz w:val="19"/>
              </w:rPr>
              <w:t>Year 9, after the Breadboard foundation unit; not organised by school term in the shared course hub.</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Duration</w:t>
            </w:r>
          </w:p>
        </w:tc>
        <w:tc>
          <w:tcPr>
            <w:tcW w:type="dxa" w:w="12132"/>
            <w:tcMar>
              <w:top w:w="80" w:type="dxa"/>
              <w:start w:w="120" w:type="dxa"/>
              <w:bottom w:w="80" w:type="dxa"/>
              <w:end w:w="120" w:type="dxa"/>
            </w:tcMar>
            <w:shd w:fill="FFFFFF"/>
            <w:vAlign w:val="center"/>
          </w:tcPr>
          <w:p>
            <w:pPr>
              <w:spacing w:before="0" w:after="40" w:line="240" w:lineRule="auto"/>
            </w:pPr>
            <w:r/>
            <w:r>
              <w:rPr>
                <w:rFonts w:ascii="Calibri" w:hAnsi="Calibri"/>
                <w:b w:val="0"/>
                <w:i w:val="0"/>
                <w:color w:val="21302A"/>
                <w:sz w:val="19"/>
              </w:rPr>
              <w:t>6 weeks, delivered through three paired-week guided modules.</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Focus</w:t>
            </w:r>
          </w:p>
        </w:tc>
        <w:tc>
          <w:tcPr>
            <w:tcW w:type="dxa" w:w="12132"/>
            <w:tcMar>
              <w:top w:w="80" w:type="dxa"/>
              <w:start w:w="120" w:type="dxa"/>
              <w:bottom w:w="80" w:type="dxa"/>
              <w:end w:w="120" w:type="dxa"/>
            </w:tcMar>
            <w:shd w:fill="F7F2E8"/>
            <w:vAlign w:val="center"/>
          </w:tcPr>
          <w:p>
            <w:pPr>
              <w:spacing w:before="0" w:after="40" w:line="240" w:lineRule="auto"/>
            </w:pPr>
            <w:r/>
            <w:r>
              <w:rPr>
                <w:rFonts w:ascii="Calibri" w:hAnsi="Calibri"/>
                <w:b w:val="0"/>
                <w:i w:val="0"/>
                <w:color w:val="21302A"/>
                <w:sz w:val="19"/>
              </w:rPr>
              <w:t>Safe measurement and marking, basic box construction, assembly, divider fitting, surface preparation, finishing and evaluation.</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Primary outcomes</w:t>
            </w:r>
          </w:p>
        </w:tc>
        <w:tc>
          <w:tcPr>
            <w:tcW w:type="dxa" w:w="12132"/>
            <w:tcMar>
              <w:top w:w="80" w:type="dxa"/>
              <w:start w:w="120" w:type="dxa"/>
              <w:bottom w:w="80" w:type="dxa"/>
              <w:end w:w="120" w:type="dxa"/>
            </w:tcMar>
            <w:shd w:fill="FFFFFF"/>
            <w:vAlign w:val="center"/>
          </w:tcPr>
          <w:p>
            <w:pPr>
              <w:spacing w:before="0" w:after="40" w:line="240" w:lineRule="auto"/>
            </w:pPr>
            <w:r/>
            <w:r>
              <w:rPr>
                <w:rFonts w:ascii="Calibri" w:hAnsi="Calibri"/>
                <w:b w:val="0"/>
                <w:i w:val="0"/>
                <w:color w:val="21302A"/>
                <w:sz w:val="19"/>
              </w:rPr>
              <w:t>INT5-SAF-01, INT5-USE-01, INT5-PRO-01, INT5-INP-01, INT5-DES-01, INT5-COM-01, INT5-ENV-01, INT5-EVL-01.</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Unit overview</w:t>
            </w:r>
          </w:p>
        </w:tc>
        <w:tc>
          <w:tcPr>
            <w:tcW w:type="dxa" w:w="12132"/>
            <w:tcMar>
              <w:top w:w="80" w:type="dxa"/>
              <w:start w:w="120" w:type="dxa"/>
              <w:bottom w:w="80" w:type="dxa"/>
              <w:end w:w="120" w:type="dxa"/>
            </w:tcMar>
            <w:shd w:fill="F7F2E8"/>
            <w:vAlign w:val="center"/>
          </w:tcPr>
          <w:p>
            <w:pPr>
              <w:spacing w:before="0" w:after="40" w:line="240" w:lineRule="auto"/>
            </w:pPr>
            <w:r/>
            <w:r>
              <w:rPr>
                <w:rFonts w:ascii="Calibri" w:hAnsi="Calibri"/>
                <w:b w:val="0"/>
                <w:i w:val="0"/>
                <w:color w:val="21302A"/>
                <w:sz w:val="19"/>
              </w:rPr>
              <w:t>Students develop confidence through a compact timber project. They read the brief, plan and produce a small box with an approved divider arrangement, record decisions and process evidence, and evaluate the finished product. Practical performance remains subject to teacher authorisation and observation.</w:t>
            </w:r>
          </w:p>
        </w:tc>
      </w:tr>
    </w:tbl>
    <w:p>
      <w:pPr>
        <w:pStyle w:val="Heading1"/>
      </w:pPr>
      <w:r>
        <w:t>Outcome and evidence coverage</w:t>
      </w:r>
    </w:p>
    <w:tbl>
      <w:tblPr>
        <w:tblW w:type="dxa" w:w="14513"/>
        <w:tblLayout w:type="fixed"/>
        <w:tblLook w:firstColumn="1" w:firstRow="1" w:lastColumn="0" w:lastRow="0" w:noHBand="0" w:noVBand="1" w:val="04A0"/>
        <w:jc w:val="center"/>
        <w:tblInd w:w="120" w:type="dxa"/>
      </w:tblPr>
      <w:tblGrid>
        <w:gridCol w:w="2381"/>
        <w:gridCol w:w="12132"/>
      </w:tblGrid>
      <w:tr>
        <w:trPr>
          <w:tblHeader w:val="true"/>
        </w:trPr>
        <w:tc>
          <w:tcPr>
            <w:tcW w:type="dxa" w:w="2381"/>
            <w:tcMar>
              <w:top w:w="80" w:type="dxa"/>
              <w:start w:w="120" w:type="dxa"/>
              <w:bottom w:w="80" w:type="dxa"/>
              <w:end w:w="120" w:type="dxa"/>
            </w:tcMar>
            <w:shd w:fill="A86532"/>
            <w:vAlign w:val="center"/>
          </w:tcPr>
          <w:p>
            <w:pPr>
              <w:spacing w:before="0" w:after="40" w:line="240" w:lineRule="auto"/>
            </w:pPr>
            <w:r/>
            <w:r>
              <w:rPr>
                <w:rFonts w:ascii="Calibri" w:hAnsi="Calibri"/>
                <w:b/>
                <w:i w:val="0"/>
                <w:color w:val="FFFFFF"/>
                <w:sz w:val="18"/>
              </w:rPr>
              <w:t>Outcome code</w:t>
            </w:r>
          </w:p>
        </w:tc>
        <w:tc>
          <w:tcPr>
            <w:tcW w:type="dxa" w:w="12132"/>
            <w:tcMar>
              <w:top w:w="80" w:type="dxa"/>
              <w:start w:w="120" w:type="dxa"/>
              <w:bottom w:w="80" w:type="dxa"/>
              <w:end w:w="120" w:type="dxa"/>
            </w:tcMar>
            <w:shd w:fill="A86532"/>
            <w:vAlign w:val="center"/>
          </w:tcPr>
          <w:p>
            <w:pPr>
              <w:spacing w:before="0" w:after="40" w:line="240" w:lineRule="auto"/>
            </w:pPr>
            <w:r/>
            <w:r>
              <w:rPr>
                <w:rFonts w:ascii="Calibri" w:hAnsi="Calibri"/>
                <w:b/>
                <w:i w:val="0"/>
                <w:color w:val="FFFFFF"/>
                <w:sz w:val="18"/>
              </w:rPr>
              <w:t>Program evidence requirement</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INT5-SAF-01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Risk controls, safe set-up, teacher authorisation and finishing safety are checked through responses and teacher observation.</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INT5-USE-01 / INT5-PRO-01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select and apply suitable marking, cutting, assembly, sanding and finishing processes.</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INT5-INP-01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plan the work sequence, apply quality gates and record approved corrections.</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INT5-DES-01 / INT5-COM-01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communicate an approved divider/layout decision and document construction and evaluation evidence.</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INT5-ENV-01 / INT5-EVL-01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consider responsible material/finish use and evaluate function, appearance and workmanship.</w:t>
            </w:r>
          </w:p>
        </w:tc>
      </w:tr>
    </w:tbl>
    <w:p>
      <w:pPr>
        <w:pStyle w:val="Heading1"/>
      </w:pPr>
      <w:r>
        <w:t>Teaching and evidence sequence</w:t>
      </w:r>
    </w:p>
    <w:p>
      <w:pPr>
        <w:spacing w:after="120"/>
      </w:pPr>
      <w:r>
        <w:rPr>
          <w:rFonts w:ascii="Calibri" w:hAnsi="Calibri"/>
          <w:b w:val="0"/>
          <w:i/>
          <w:color w:val="5E6B65"/>
          <w:sz w:val="17"/>
        </w:rPr>
        <w:t>Syllabus content below is quoted from the supplied future Timber program. Page references are retained from that source.</w:t>
      </w:r>
    </w:p>
    <w:tbl>
      <w:tblPr>
        <w:tblW w:type="dxa" w:w="14513"/>
        <w:tblLayout w:type="fixed"/>
        <w:tblLook w:firstColumn="1" w:firstRow="1" w:lastColumn="0" w:lastRow="0" w:noHBand="0" w:noVBand="1" w:val="04A0"/>
        <w:jc w:val="center"/>
        <w:tblInd w:w="120" w:type="dxa"/>
      </w:tblPr>
      <w:tblGrid>
        <w:gridCol w:w="822"/>
        <w:gridCol w:w="2835"/>
        <w:gridCol w:w="1757"/>
        <w:gridCol w:w="5244"/>
        <w:gridCol w:w="3855"/>
      </w:tblGrid>
      <w:tr>
        <w:trPr>
          <w:tblHeader w:val="true"/>
        </w:trPr>
        <w:tc>
          <w:tcPr>
            <w:tcW w:type="dxa" w:w="822"/>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Weeks</w:t>
            </w:r>
          </w:p>
        </w:tc>
        <w:tc>
          <w:tcPr>
            <w:tcW w:type="dxa" w:w="2835"/>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Teaching / practical focus</w:t>
            </w:r>
          </w:p>
        </w:tc>
        <w:tc>
          <w:tcPr>
            <w:tcW w:type="dxa" w:w="1757"/>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Outcome codes</w:t>
            </w:r>
          </w:p>
        </w:tc>
        <w:tc>
          <w:tcPr>
            <w:tcW w:type="dxa" w:w="5244"/>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Syllabus content</w:t>
            </w:r>
          </w:p>
        </w:tc>
        <w:tc>
          <w:tcPr>
            <w:tcW w:type="dxa" w:w="3855"/>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Evidence and source reference</w:t>
            </w:r>
          </w:p>
        </w:tc>
      </w:tr>
      <w:tr>
        <w:tc>
          <w:tcPr>
            <w:tcW w:type="dxa" w:w="822"/>
            <w:shd w:fill="FFFFFF"/>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1-2</w:t>
            </w:r>
          </w:p>
        </w:tc>
        <w:tc>
          <w:tcPr>
            <w:tcW w:type="dxa" w:w="283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Project brief, workshop readiness, hazards and controls, measurement, marking and an approved box/divider plan.</w:t>
            </w:r>
          </w:p>
        </w:tc>
        <w:tc>
          <w:tcPr>
            <w:tcW w:type="dxa" w:w="1757"/>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INT5-USE-01</w:t>
            </w:r>
          </w:p>
          <w:p>
            <w:pPr>
              <w:spacing w:before="0" w:after="40" w:line="240" w:lineRule="auto"/>
            </w:pPr>
            <w:r>
              <w:rPr>
                <w:rFonts w:ascii="Calibri" w:hAnsi="Calibri"/>
                <w:b w:val="0"/>
                <w:i w:val="0"/>
                <w:color w:val="21302A"/>
                <w:sz w:val="16"/>
              </w:rPr>
              <w:t>INT5-INP-01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INT5-DES-01</w:t>
            </w:r>
          </w:p>
          <w:p>
            <w:pPr>
              <w:spacing w:before="0" w:after="40" w:line="240" w:lineRule="auto"/>
            </w:pPr>
            <w:r>
              <w:rPr>
                <w:rFonts w:ascii="Calibri" w:hAnsi="Calibri"/>
                <w:b w:val="0"/>
                <w:i w:val="0"/>
                <w:color w:val="21302A"/>
                <w:sz w:val="16"/>
              </w:rPr>
              <w:t>INT5-COM-01</w:t>
            </w:r>
          </w:p>
        </w:tc>
        <w:tc>
          <w:tcPr>
            <w:tcW w:type="dxa" w:w="5244"/>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Recognise and comply with work health and safety (WHS) documentation and signage, and follow WHS rules when designing or producing (p.47)</w:t>
            </w:r>
          </w:p>
          <w:p>
            <w:pPr>
              <w:spacing w:before="0" w:after="40" w:line="240" w:lineRule="auto"/>
            </w:pPr>
            <w:r>
              <w:rPr>
                <w:rFonts w:ascii="Calibri" w:hAnsi="Calibri"/>
                <w:b w:val="0"/>
                <w:i w:val="0"/>
                <w:color w:val="21302A"/>
                <w:sz w:val="15"/>
              </w:rPr>
              <w:t>Outline the principles of risk management and implement risk-reduction procedures (p.47)</w:t>
            </w:r>
          </w:p>
          <w:p>
            <w:pPr>
              <w:spacing w:before="0" w:after="40" w:line="240" w:lineRule="auto"/>
            </w:pPr>
            <w:r>
              <w:rPr>
                <w:rFonts w:ascii="Calibri" w:hAnsi="Calibri"/>
                <w:b w:val="0"/>
                <w:i w:val="0"/>
                <w:color w:val="21302A"/>
                <w:sz w:val="15"/>
              </w:rPr>
              <w:t>Use appropriate hand tools, portable power tools or machines when cutting, shaping, forming, machining or detailing to make timber products (p.51)</w:t>
            </w:r>
          </w:p>
          <w:p>
            <w:pPr>
              <w:spacing w:before="0" w:after="40" w:line="240" w:lineRule="auto"/>
            </w:pPr>
            <w:r>
              <w:rPr>
                <w:rFonts w:ascii="Calibri" w:hAnsi="Calibri"/>
                <w:b w:val="0"/>
                <w:i w:val="0"/>
                <w:color w:val="21302A"/>
                <w:sz w:val="15"/>
              </w:rPr>
              <w:t>Propose, apply and evaluate plans for production, using project management tasks and tools (p.48)</w:t>
            </w:r>
          </w:p>
          <w:p>
            <w:pPr>
              <w:spacing w:before="0" w:after="40" w:line="240" w:lineRule="auto"/>
            </w:pPr>
            <w:r>
              <w:rPr>
                <w:rFonts w:ascii="Calibri" w:hAnsi="Calibri"/>
                <w:b w:val="0"/>
                <w:i w:val="0"/>
                <w:color w:val="21302A"/>
                <w:sz w:val="15"/>
              </w:rPr>
              <w:t>Apply a range of graphical communication techniques including freehand sketching, diagrams, graphs, charts or computer-aided design (CAD) software during project development (p.48)</w:t>
            </w:r>
          </w:p>
        </w:tc>
        <w:tc>
          <w:tcPr>
            <w:tcW w:type="dxa" w:w="385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Small Box Weeks 1-2: 12 knowledge checks and 4 saved written responses.</w:t>
            </w:r>
          </w:p>
          <w:p>
            <w:pPr>
              <w:spacing w:before="0" w:after="40" w:line="240" w:lineRule="auto"/>
            </w:pPr>
            <w:r>
              <w:rPr>
                <w:rFonts w:ascii="Calibri" w:hAnsi="Calibri"/>
                <w:b w:val="0"/>
                <w:i w:val="0"/>
                <w:color w:val="21302A"/>
                <w:sz w:val="16"/>
              </w:rPr>
              <w:t>Teacher observation: safe set-up, measurement and marking before cutting.</w:t>
            </w:r>
          </w:p>
          <w:p>
            <w:pPr>
              <w:spacing w:before="0" w:after="40" w:line="240" w:lineRule="auto"/>
            </w:pPr>
            <w:r>
              <w:rPr>
                <w:rFonts w:ascii="Calibri" w:hAnsi="Calibri"/>
                <w:b w:val="0"/>
                <w:i w:val="0"/>
                <w:color w:val="21302A"/>
                <w:sz w:val="16"/>
              </w:rPr>
              <w:t>Folio: brief, planning and early-stage evidence.</w:t>
            </w:r>
          </w:p>
        </w:tc>
      </w:tr>
      <w:tr>
        <w:tc>
          <w:tcPr>
            <w:tcW w:type="dxa" w:w="822"/>
            <w:shd w:fill="E8F1EC"/>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3-4</w:t>
            </w:r>
          </w:p>
        </w:tc>
        <w:tc>
          <w:tcPr>
            <w:tcW w:type="dxa" w:w="283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Cutting and assembly, butt-joint quality, adhesive and clamping sequence, divider fitting, square checks and approved error recovery.</w:t>
            </w:r>
          </w:p>
        </w:tc>
        <w:tc>
          <w:tcPr>
            <w:tcW w:type="dxa" w:w="1757"/>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INT5-USE-01</w:t>
            </w:r>
          </w:p>
          <w:p>
            <w:pPr>
              <w:spacing w:before="0" w:after="40" w:line="240" w:lineRule="auto"/>
            </w:pPr>
            <w:r>
              <w:rPr>
                <w:rFonts w:ascii="Calibri" w:hAnsi="Calibri"/>
                <w:b w:val="0"/>
                <w:i w:val="0"/>
                <w:color w:val="21302A"/>
                <w:sz w:val="16"/>
              </w:rPr>
              <w:t>INT5-INP-01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INT5-COM-01</w:t>
            </w:r>
          </w:p>
        </w:tc>
        <w:tc>
          <w:tcPr>
            <w:tcW w:type="dxa" w:w="5244"/>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 (p.50)</w:t>
            </w:r>
          </w:p>
          <w:p>
            <w:pPr>
              <w:spacing w:before="0" w:after="40" w:line="240" w:lineRule="auto"/>
            </w:pPr>
            <w:r>
              <w:rPr>
                <w:rFonts w:ascii="Calibri" w:hAnsi="Calibri"/>
                <w:b w:val="0"/>
                <w:i w:val="0"/>
                <w:color w:val="21302A"/>
                <w:sz w:val="15"/>
              </w:rPr>
              <w:t>Use appropriate hand tools, portable power tools or machines when cutting, shaping, forming, machining or detailing to make timber products (p.51)</w:t>
            </w:r>
          </w:p>
          <w:p>
            <w:pPr>
              <w:spacing w:before="0" w:after="40" w:line="240" w:lineRule="auto"/>
            </w:pPr>
            <w:r>
              <w:rPr>
                <w:rFonts w:ascii="Calibri" w:hAnsi="Calibri"/>
                <w:b w:val="0"/>
                <w:i w:val="0"/>
                <w:color w:val="21302A"/>
                <w:sz w:val="15"/>
              </w:rPr>
              <w:t>Assemble parts and components using fixings, adhesives or clamps to make timber products (p.51)</w:t>
            </w:r>
          </w:p>
          <w:p>
            <w:pPr>
              <w:spacing w:before="0" w:after="40" w:line="240" w:lineRule="auto"/>
            </w:pPr>
            <w:r>
              <w:rPr>
                <w:rFonts w:ascii="Calibri" w:hAnsi="Calibri"/>
                <w:b w:val="0"/>
                <w:i w:val="0"/>
                <w:color w:val="21302A"/>
                <w:sz w:val="15"/>
              </w:rPr>
              <w:t>Select and use a range of glues or adhesives to assemble parts and components in timber projects (p.51)</w:t>
            </w:r>
          </w:p>
          <w:p>
            <w:pPr>
              <w:spacing w:before="0" w:after="40" w:line="240" w:lineRule="auto"/>
            </w:pPr>
            <w:r>
              <w:rPr>
                <w:rFonts w:ascii="Calibri" w:hAnsi="Calibri"/>
                <w:b w:val="0"/>
                <w:i w:val="0"/>
                <w:color w:val="21302A"/>
                <w:sz w:val="15"/>
              </w:rPr>
              <w:t>Outline and apply a quality management system to support production processes including testing, quality assurance and quality control (p.48)</w:t>
            </w:r>
          </w:p>
          <w:p>
            <w:pPr>
              <w:spacing w:before="0" w:after="40" w:line="240" w:lineRule="auto"/>
            </w:pPr>
            <w:r>
              <w:rPr>
                <w:rFonts w:ascii="Calibri" w:hAnsi="Calibri"/>
                <w:b w:val="0"/>
                <w:i w:val="0"/>
                <w:color w:val="21302A"/>
                <w:sz w:val="15"/>
              </w:rPr>
              <w:t>Identify and allocate roles for collaborative production processes (p.48)</w:t>
            </w:r>
          </w:p>
        </w:tc>
        <w:tc>
          <w:tcPr>
            <w:tcW w:type="dxa" w:w="385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Small Box Weeks 3-4: saved responses on cutting/clamping, joint quality and error recovery.</w:t>
            </w:r>
          </w:p>
          <w:p>
            <w:pPr>
              <w:spacing w:before="0" w:after="40" w:line="240" w:lineRule="auto"/>
            </w:pPr>
            <w:r>
              <w:rPr>
                <w:rFonts w:ascii="Calibri" w:hAnsi="Calibri"/>
                <w:b w:val="0"/>
                <w:i w:val="0"/>
                <w:color w:val="21302A"/>
                <w:sz w:val="16"/>
              </w:rPr>
              <w:t>Teacher observation: clamping, square checks and shared-workspace role.</w:t>
            </w:r>
          </w:p>
          <w:p>
            <w:pPr>
              <w:spacing w:before="0" w:after="40" w:line="240" w:lineRule="auto"/>
            </w:pPr>
            <w:r>
              <w:rPr>
                <w:rFonts w:ascii="Calibri" w:hAnsi="Calibri"/>
                <w:b w:val="0"/>
                <w:i w:val="0"/>
                <w:color w:val="21302A"/>
                <w:sz w:val="16"/>
              </w:rPr>
              <w:t>Folio: construction-stage photo/caption evidence.</w:t>
            </w:r>
          </w:p>
        </w:tc>
      </w:tr>
      <w:tr>
        <w:tc>
          <w:tcPr>
            <w:tcW w:type="dxa" w:w="822"/>
            <w:shd w:fill="FFFFFF"/>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5-6</w:t>
            </w:r>
          </w:p>
        </w:tc>
        <w:tc>
          <w:tcPr>
            <w:tcW w:type="dxa" w:w="283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Surface preparation, approved finish, quality inspection, social/environmental reflection, PMI evaluation and submission evidence.</w:t>
            </w:r>
          </w:p>
        </w:tc>
        <w:tc>
          <w:tcPr>
            <w:tcW w:type="dxa" w:w="1757"/>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INT5-COM-01</w:t>
            </w:r>
          </w:p>
          <w:p>
            <w:pPr>
              <w:spacing w:before="0" w:after="40" w:line="240" w:lineRule="auto"/>
            </w:pPr>
            <w:r>
              <w:rPr>
                <w:rFonts w:ascii="Calibri" w:hAnsi="Calibri"/>
                <w:b w:val="0"/>
                <w:i w:val="0"/>
                <w:color w:val="21302A"/>
                <w:sz w:val="16"/>
              </w:rPr>
              <w:t>INT5-ENV-01</w:t>
            </w:r>
          </w:p>
          <w:p>
            <w:pPr>
              <w:spacing w:before="0" w:after="40" w:line="240" w:lineRule="auto"/>
            </w:pPr>
            <w:r>
              <w:rPr>
                <w:rFonts w:ascii="Calibri" w:hAnsi="Calibri"/>
                <w:b w:val="0"/>
                <w:i w:val="0"/>
                <w:color w:val="21302A"/>
                <w:sz w:val="16"/>
              </w:rPr>
              <w:t>INT5-EVL-01</w:t>
            </w:r>
          </w:p>
        </w:tc>
        <w:tc>
          <w:tcPr>
            <w:tcW w:type="dxa" w:w="5244"/>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Use hand tools, power tools, machinery, chemicals and abrasives to prepare timber surfaces for the application of finishes (p.52)</w:t>
            </w:r>
          </w:p>
          <w:p>
            <w:pPr>
              <w:spacing w:before="0" w:after="40" w:line="240" w:lineRule="auto"/>
            </w:pPr>
            <w:r>
              <w:rPr>
                <w:rFonts w:ascii="Calibri" w:hAnsi="Calibri"/>
                <w:b w:val="0"/>
                <w:i w:val="0"/>
                <w:color w:val="21302A"/>
                <w:sz w:val="15"/>
              </w:rPr>
              <w:t>Identify sustainable materials, technologies and practices when designing projects (p.47)</w:t>
            </w:r>
          </w:p>
          <w:p>
            <w:pPr>
              <w:spacing w:before="0" w:after="40" w:line="240" w:lineRule="auto"/>
            </w:pPr>
            <w:r>
              <w:rPr>
                <w:rFonts w:ascii="Calibri" w:hAnsi="Calibri"/>
                <w:b w:val="0"/>
                <w:i w:val="0"/>
                <w:color w:val="21302A"/>
                <w:sz w:val="15"/>
              </w:rPr>
              <w:t>Evaluate the effectiveness of design on the quality, function and aesthetics of finished products (p.47)</w:t>
            </w:r>
          </w:p>
          <w:p>
            <w:pPr>
              <w:spacing w:before="0" w:after="40" w:line="240" w:lineRule="auto"/>
            </w:pPr>
            <w:r>
              <w:rPr>
                <w:rFonts w:ascii="Calibri" w:hAnsi="Calibri"/>
                <w:b w:val="0"/>
                <w:i w:val="0"/>
                <w:color w:val="21302A"/>
                <w:sz w:val="15"/>
              </w:rPr>
              <w:t>Create written texts to document, reflect on and evaluate project development, production and management processes (p.48)</w:t>
            </w:r>
          </w:p>
          <w:p>
            <w:pPr>
              <w:spacing w:before="0" w:after="40" w:line="240" w:lineRule="auto"/>
            </w:pPr>
            <w:r>
              <w:rPr>
                <w:rFonts w:ascii="Calibri" w:hAnsi="Calibri"/>
                <w:b w:val="0"/>
                <w:i w:val="0"/>
                <w:color w:val="21302A"/>
                <w:sz w:val="15"/>
              </w:rPr>
              <w:t>Evaluate the impact of manufacturing processes on the quality of finished timber products (p.52)</w:t>
            </w:r>
          </w:p>
        </w:tc>
        <w:tc>
          <w:tcPr>
            <w:tcW w:type="dxa" w:w="385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Small Box Weeks 5-6: saved finishing and PMI responses.</w:t>
            </w:r>
          </w:p>
          <w:p>
            <w:pPr>
              <w:spacing w:before="0" w:after="40" w:line="240" w:lineRule="auto"/>
            </w:pPr>
            <w:r>
              <w:rPr>
                <w:rFonts w:ascii="Calibri" w:hAnsi="Calibri"/>
                <w:b w:val="0"/>
                <w:i w:val="0"/>
                <w:color w:val="21302A"/>
                <w:sz w:val="16"/>
              </w:rPr>
              <w:t>smallbox-folio.html: printable process and evaluation evidence.</w:t>
            </w:r>
          </w:p>
          <w:p>
            <w:pPr>
              <w:spacing w:before="0" w:after="40" w:line="240" w:lineRule="auto"/>
            </w:pPr>
            <w:r>
              <w:rPr>
                <w:rFonts w:ascii="Calibri" w:hAnsi="Calibri"/>
                <w:b w:val="0"/>
                <w:i w:val="0"/>
                <w:color w:val="21302A"/>
                <w:sz w:val="16"/>
              </w:rPr>
              <w:t>Teacher observation: finish preparation, application and workshop handover.</w:t>
            </w:r>
          </w:p>
        </w:tc>
      </w:tr>
    </w:tbl>
    <w:p>
      <w:pPr>
        <w:pStyle w:val="Heading1"/>
      </w:pPr>
      <w:r>
        <w:t>Resources and controls</w:t>
      </w:r>
    </w:p>
    <w:tbl>
      <w:tblPr>
        <w:tblW w:type="dxa" w:w="14513"/>
        <w:jc w:val="center"/>
        <w:tblLayout w:type="fixed"/>
        <w:tblLook w:firstColumn="1" w:firstRow="1" w:lastColumn="0" w:lastRow="0" w:noHBand="0" w:noVBand="1" w:val="04A0"/>
        <w:tblInd w:w="120" w:type="dxa"/>
      </w:tblPr>
      <w:tblGrid>
        <w:gridCol w:w="2381"/>
        <w:gridCol w:w="12132"/>
      </w:tblGrid>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Verified resources</w:t>
            </w:r>
          </w:p>
        </w:tc>
        <w:tc>
          <w:tcPr>
            <w:tcW w:type="dxa" w:w="12132"/>
            <w:tcMar>
              <w:top w:w="80" w:type="dxa"/>
              <w:start w:w="120" w:type="dxa"/>
              <w:bottom w:w="80" w:type="dxa"/>
              <w:end w:w="120" w:type="dxa"/>
            </w:tcMar>
            <w:vAlign w:val="center"/>
          </w:tcPr>
          <w:p>
            <w:pPr>
              <w:spacing w:before="0" w:after="40" w:line="240" w:lineRule="auto"/>
            </w:pPr>
            <w:r/>
            <w:r>
              <w:rPr>
                <w:rFonts w:ascii="Calibri" w:hAnsi="Calibri"/>
                <w:b w:val="0"/>
                <w:i w:val="0"/>
                <w:color w:val="21302A"/>
                <w:sz w:val="18"/>
              </w:rPr>
              <w:t>Live course: https://stevencowell.github.io/Small-Box/</w:t>
            </w:r>
          </w:p>
          <w:p>
            <w:pPr>
              <w:spacing w:before="0" w:after="40" w:line="240" w:lineRule="auto"/>
            </w:pPr>
            <w:r>
              <w:rPr>
                <w:rFonts w:ascii="Calibri" w:hAnsi="Calibri"/>
                <w:b w:val="0"/>
                <w:i w:val="0"/>
                <w:color w:val="21302A"/>
                <w:sz w:val="18"/>
              </w:rPr>
              <w:t>Active evidence: weeks1-2, weeks3-4, weeks5-6 and smallbox-folio.html.</w:t>
            </w:r>
          </w:p>
          <w:p>
            <w:pPr>
              <w:spacing w:before="0" w:after="40" w:line="240" w:lineRule="auto"/>
            </w:pPr>
            <w:r>
              <w:rPr>
                <w:rFonts w:ascii="Calibri" w:hAnsi="Calibri"/>
                <w:b w:val="0"/>
                <w:i w:val="0"/>
                <w:color w:val="21302A"/>
                <w:sz w:val="18"/>
              </w:rPr>
              <w:t>Future syllabus content authority: 2025 Timber program new syllabus.docx and its verified Google Drive source.</w:t>
            </w:r>
          </w:p>
        </w:tc>
      </w:tr>
      <w:tr>
        <w:tc>
          <w:tcPr>
            <w:tcW w:type="dxa" w:w="2381"/>
            <w:tcMar>
              <w:top w:w="80" w:type="dxa"/>
              <w:start w:w="120" w:type="dxa"/>
              <w:bottom w:w="80" w:type="dxa"/>
              <w:end w:w="120" w:type="dxa"/>
            </w:tcMar>
            <w:shd w:fill="A86532"/>
            <w:vAlign w:val="center"/>
          </w:tcPr>
          <w:p>
            <w:pPr>
              <w:spacing w:before="0" w:after="40" w:line="240" w:lineRule="auto"/>
            </w:pPr>
            <w:r/>
            <w:r>
              <w:rPr>
                <w:rFonts w:ascii="Calibri" w:hAnsi="Calibri"/>
                <w:b/>
                <w:i w:val="0"/>
                <w:color w:val="FFFFFF"/>
                <w:sz w:val="18"/>
              </w:rPr>
              <w:t>Teacher controls / unresolved local decisions</w:t>
            </w:r>
          </w:p>
        </w:tc>
        <w:tc>
          <w:tcPr>
            <w:tcW w:type="dxa" w:w="12132"/>
            <w:tcMar>
              <w:top w:w="80" w:type="dxa"/>
              <w:start w:w="120" w:type="dxa"/>
              <w:bottom w:w="80" w:type="dxa"/>
              <w:end w:w="120" w:type="dxa"/>
            </w:tcMar>
            <w:vAlign w:val="center"/>
          </w:tcPr>
          <w:p>
            <w:pPr>
              <w:spacing w:before="0" w:after="40" w:line="240" w:lineRule="auto"/>
            </w:pPr>
            <w:r/>
            <w:r>
              <w:rPr>
                <w:rFonts w:ascii="Calibri" w:hAnsi="Calibri"/>
                <w:b w:val="0"/>
                <w:i w:val="0"/>
                <w:color w:val="21302A"/>
                <w:sz w:val="18"/>
              </w:rPr>
              <w:t>No source plan is currently linked from the live Small Box site; the teacher-issued project instructions remain the dimensional authority.</w:t>
            </w:r>
          </w:p>
          <w:p>
            <w:pPr>
              <w:spacing w:before="0" w:after="40" w:line="240" w:lineRule="auto"/>
            </w:pPr>
            <w:r>
              <w:rPr>
                <w:rFonts w:ascii="Calibri" w:hAnsi="Calibri"/>
                <w:b w:val="0"/>
                <w:i w:val="0"/>
                <w:color w:val="21302A"/>
                <w:sz w:val="18"/>
              </w:rPr>
              <w:t>No assessment date or weighting is included because none was supplied and verified.</w:t>
            </w:r>
          </w:p>
          <w:p>
            <w:pPr>
              <w:spacing w:before="0" w:after="40" w:line="240" w:lineRule="auto"/>
            </w:pPr>
            <w:r>
              <w:rPr>
                <w:rFonts w:ascii="Calibri" w:hAnsi="Calibri"/>
                <w:b w:val="0"/>
                <w:i w:val="0"/>
                <w:color w:val="21302A"/>
                <w:sz w:val="18"/>
              </w:rPr>
              <w:t>Machine use, materials, finish system and local procedures must be confirmed by the teacher and current school SOPs/SDSs.</w:t>
            </w:r>
          </w:p>
        </w:tc>
      </w:tr>
    </w:tbl>
    <w:p>
      <w:pPr>
        <w:spacing w:before="160"/>
      </w:pPr>
      <w:r>
        <w:rPr>
          <w:rFonts w:ascii="Calibri" w:hAnsi="Calibri"/>
          <w:b w:val="0"/>
          <w:i/>
          <w:color w:val="5E6B65"/>
          <w:sz w:val="17"/>
        </w:rPr>
        <w:t>Source note: Small Box is a local program addition built from the supplied future Timber program statements and the verified live project course. It is not presented as part of the original supplied 2025 master program.</w:t>
      </w:r>
    </w:p>
    <w:sectPr w:rsidR="00FC693F" w:rsidRPr="0006063C" w:rsidSect="00034616">
      <w:headerReference w:type="default" r:id="rId9"/>
      <w:footerReference w:type="default" r:id="rId10"/>
      <w:pgSz w:w="16838" w:h="11906" w:orient="landscape"/>
      <w:pgMar w:top="765" w:right="992" w:bottom="765"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B65"/>
        <w:sz w:val="16"/>
      </w:rPr>
      <w:t>Wagga Wagga High School  |  Prepared 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E6B65"/>
        <w:sz w:val="17"/>
      </w:rPr>
      <w:t>YEAR 9-10 TIMBER  |  LOCAL PROGRAM ADDITION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4D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4D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4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