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Privacy Investigation Finding</w:t>
      </w:r>
    </w:p>
    <w:p>
      <w:pPr>
        <w:pStyle w:val="Normal"/>
        <w:spacing w:before="0" w:after="480"/>
        <w:jc w:val="center"/>
        <w:rPr/>
      </w:pPr>
      <w:r>
        <w:rPr>
          <w:i/>
          <w:iCs/>
          <w:sz w:val="28"/>
          <w:szCs w:val="28"/>
        </w:rPr>
        <w:t>The Opt-Out Paradox: Why Rejecting Cookies Can Increase Third-Party Tracking Requests</w:t>
      </w:r>
    </w:p>
    <w:p>
      <w:pPr>
        <w:pStyle w:val="Heading1"/>
        <w:rPr/>
      </w:pPr>
      <w:r>
        <w:rPr/>
        <w:t>Executive Summary</w:t>
      </w:r>
    </w:p>
    <w:p>
      <w:pPr>
        <w:pStyle w:val="Normal"/>
        <w:spacing w:before="0" w:after="200"/>
        <w:rPr/>
      </w:pPr>
      <w:r>
        <w:rPr/>
        <w:t xml:space="preserve">During privacy investigations of major retail websites, a counterintuitive finding has been observed: </w:t>
      </w:r>
      <w:r>
        <w:rPr>
          <w:b/>
          <w:bCs/>
        </w:rPr>
        <w:t>opting out of cookies can result in more third-party tracker requests than opting in</w:t>
      </w:r>
      <w:r>
        <w:rPr/>
        <w:t>. This finding has significant implications for understanding the true effectiveness of consent mechanisms under California privacy law.</w:t>
      </w:r>
    </w:p>
    <w:p>
      <w:pPr>
        <w:pStyle w:val="Heading1"/>
        <w:rPr/>
      </w:pPr>
      <w:r>
        <w:rPr/>
        <w:t>Key Finding</w:t>
      </w:r>
    </w:p>
    <w:p>
      <w:pPr>
        <w:pStyle w:val="Normal"/>
        <w:spacing w:before="0" w:after="200"/>
        <w:rPr/>
      </w:pPr>
      <w:r>
        <w:rPr/>
        <w:t xml:space="preserve">When a user clicks "Reject All" or "Decline Cookies" on a website's consent banner, the number of third-party network requests may actually </w:t>
      </w:r>
      <w:r>
        <w:rPr>
          <w:b/>
          <w:bCs/>
          <w:i/>
          <w:iCs/>
        </w:rPr>
        <w:t>increase</w:t>
      </w:r>
      <w:r>
        <w:rPr/>
        <w:t xml:space="preserve"> compared to clicking "Accept All." This paradox reveals fundamental issues with how consent mechanisms operate.</w:t>
      </w:r>
    </w:p>
    <w:p>
      <w:pPr>
        <w:pStyle w:val="Heading1"/>
        <w:rPr/>
      </w:pPr>
      <w:r>
        <w:rPr/>
        <w:t>Why This Happens</w:t>
      </w:r>
    </w:p>
    <w:p>
      <w:pPr>
        <w:pStyle w:val="Heading2"/>
        <w:rPr/>
      </w:pPr>
      <w:r>
        <w:rPr/>
        <w:t>1. Opt-Out Notification Overhead</w:t>
      </w:r>
    </w:p>
    <w:p>
      <w:pPr>
        <w:pStyle w:val="Normal"/>
        <w:spacing w:before="0" w:after="200"/>
        <w:rPr/>
      </w:pPr>
      <w:r>
        <w:rPr/>
        <w:t>To "respect" a user's opt-out preference, the website must notify all advertising and analytics partners that this user has declined tracking. This requires making requests to Google, Facebook, ad networks, data brokers, and other third parties specifically to communicate the opt-out signal. Ironically, honoring the opt-out requires contacting more third parties than simply allowing tracking.</w:t>
      </w:r>
    </w:p>
    <w:p>
      <w:pPr>
        <w:pStyle w:val="Heading2"/>
        <w:rPr/>
      </w:pPr>
      <w:r>
        <w:rPr/>
        <w:t>2. Consent Management Platform (CMP) Overhead</w:t>
      </w:r>
    </w:p>
    <w:p>
      <w:pPr>
        <w:pStyle w:val="Normal"/>
        <w:spacing w:before="0" w:after="120"/>
        <w:rPr/>
      </w:pPr>
      <w:r>
        <w:rPr/>
        <w:t>Tools like OneTrust, TrustArc, and Cookiebot that manage consent banners generate additional network traffic when processing an opt-out:</w:t>
      </w:r>
    </w:p>
    <w:p>
      <w:pPr>
        <w:pStyle w:val="ListParagraph"/>
        <w:numPr>
          <w:ilvl w:val="0"/>
          <w:numId w:val="4"/>
        </w:numPr>
        <w:rPr/>
      </w:pPr>
      <w:r>
        <w:rPr/>
        <w:t>Logging the preference on remote servers</w:t>
      </w:r>
    </w:p>
    <w:p>
      <w:pPr>
        <w:pStyle w:val="ListParagraph"/>
        <w:numPr>
          <w:ilvl w:val="0"/>
          <w:numId w:val="1"/>
        </w:numPr>
        <w:rPr/>
      </w:pPr>
      <w:r>
        <w:rPr/>
        <w:t>Broadcasting the choice via TCF (Transparency &amp; Consent Framework) signals</w:t>
      </w:r>
    </w:p>
    <w:p>
      <w:pPr>
        <w:pStyle w:val="ListParagraph"/>
        <w:numPr>
          <w:ilvl w:val="0"/>
          <w:numId w:val="1"/>
        </w:numPr>
        <w:rPr/>
      </w:pPr>
      <w:r>
        <w:rPr/>
        <w:t>Updating Global Privacy Control settings across partner networks</w:t>
      </w:r>
    </w:p>
    <w:p>
      <w:pPr>
        <w:pStyle w:val="ListParagraph"/>
        <w:numPr>
          <w:ilvl w:val="0"/>
          <w:numId w:val="1"/>
        </w:numPr>
        <w:spacing w:before="0" w:after="200"/>
        <w:rPr/>
      </w:pPr>
      <w:r>
        <w:rPr/>
        <w:t>Synchronizing preference across domains and devices</w:t>
      </w:r>
    </w:p>
    <w:p>
      <w:pPr>
        <w:pStyle w:val="Heading2"/>
        <w:rPr/>
      </w:pPr>
      <w:r>
        <w:rPr/>
        <w:t>3. The Opt-Out Itself Is Tracked</w:t>
      </w:r>
    </w:p>
    <w:p>
      <w:pPr>
        <w:pStyle w:val="Normal"/>
        <w:spacing w:before="0" w:after="200"/>
        <w:rPr/>
      </w:pPr>
      <w:r>
        <w:rPr/>
        <w:t xml:space="preserve">The act of opting out is itself a data point. Websites record </w:t>
      </w:r>
      <w:r>
        <w:rPr>
          <w:i/>
          <w:iCs/>
        </w:rPr>
        <w:t>that</w:t>
      </w:r>
      <w:r>
        <w:rPr/>
        <w:t xml:space="preserve"> you opted out, </w:t>
      </w:r>
      <w:r>
        <w:rPr>
          <w:i/>
          <w:iCs/>
        </w:rPr>
        <w:t>when</w:t>
      </w:r>
      <w:r>
        <w:rPr/>
        <w:t xml:space="preserve"> you opted out, and </w:t>
      </w:r>
      <w:r>
        <w:rPr>
          <w:i/>
          <w:iCs/>
        </w:rPr>
        <w:t>how</w:t>
      </w:r>
      <w:r>
        <w:rPr/>
        <w:t xml:space="preserve"> you interacted with the consent interface. This metadata is sent to analytics services, creating additional tracking requests.</w:t>
      </w:r>
    </w:p>
    <w:p>
      <w:pPr>
        <w:pStyle w:val="Heading2"/>
        <w:rPr/>
      </w:pPr>
      <w:r>
        <w:rPr/>
        <w:t>4. Infrastructure Remains Active</w:t>
      </w:r>
    </w:p>
    <w:p>
      <w:pPr>
        <w:pStyle w:val="Normal"/>
        <w:spacing w:before="0" w:after="200"/>
        <w:rPr/>
      </w:pPr>
      <w:r>
        <w:rPr/>
        <w:t>"Opted out" does not mean "not contacted." The same third-party requests are often made regardless of consent status—they simply include an "opted out" flag. The data collection infrastructure continues to operate; the only difference is a parameter in the request indicating the user's preference.</w:t>
      </w:r>
    </w:p>
    <w:p>
      <w:pPr>
        <w:pStyle w:val="Heading1"/>
        <w:rPr/>
      </w:pPr>
      <w:r>
        <w:rPr/>
        <w:t>Legal Implications</w:t>
      </w:r>
    </w:p>
    <w:p>
      <w:pPr>
        <w:pStyle w:val="Normal"/>
        <w:spacing w:before="0" w:after="120"/>
        <w:rPr/>
      </w:pPr>
      <w:r>
        <w:rPr/>
        <w:t>This finding is relevant to several California privacy statutes:</w:t>
      </w:r>
    </w:p>
    <w:p>
      <w:pPr>
        <w:pStyle w:val="ListParagraph"/>
        <w:numPr>
          <w:ilvl w:val="0"/>
          <w:numId w:val="5"/>
        </w:numPr>
        <w:rPr/>
      </w:pPr>
      <w:r>
        <w:rPr>
          <w:b/>
          <w:bCs/>
        </w:rPr>
        <w:t xml:space="preserve">California Invasion of Privacy Act (CIPA) - Penal Code § 631: </w:t>
      </w:r>
      <w:r>
        <w:rPr/>
        <w:t>Third-party requests transmitting user data may constitute wiretapping regardless of consent status if the user's actual browsing content is captured.</w:t>
      </w:r>
    </w:p>
    <w:p>
      <w:pPr>
        <w:pStyle w:val="ListParagraph"/>
        <w:numPr>
          <w:ilvl w:val="0"/>
          <w:numId w:val="2"/>
        </w:numPr>
        <w:rPr/>
      </w:pPr>
      <w:r>
        <w:rPr>
          <w:b/>
          <w:bCs/>
        </w:rPr>
        <w:t xml:space="preserve">Pen Register/Trap and Trace - Penal Code § 638.51: </w:t>
      </w:r>
      <w:r>
        <w:rPr/>
        <w:t>Collection of electronic addressing information (IP addresses, device identifiers) continues even after opt-out.</w:t>
      </w:r>
    </w:p>
    <w:p>
      <w:pPr>
        <w:pStyle w:val="ListParagraph"/>
        <w:numPr>
          <w:ilvl w:val="0"/>
          <w:numId w:val="2"/>
        </w:numPr>
        <w:rPr/>
      </w:pPr>
      <w:r>
        <w:rPr>
          <w:b/>
          <w:bCs/>
        </w:rPr>
        <w:t xml:space="preserve">CCPA/CPRA - Civil Code § 1798.100 et seq.: </w:t>
      </w:r>
      <w:r>
        <w:rPr/>
        <w:t>The effectiveness of "Do Not Sell" mechanisms is questionable if opting out increases rather than decreases data transmission to third parties.</w:t>
      </w:r>
    </w:p>
    <w:p>
      <w:pPr>
        <w:pStyle w:val="ListParagraph"/>
        <w:numPr>
          <w:ilvl w:val="0"/>
          <w:numId w:val="2"/>
        </w:numPr>
        <w:spacing w:before="0" w:after="200"/>
        <w:rPr>
          <w:i/>
          <w:i/>
          <w:iCs/>
          <w:sz w:val="20"/>
          <w:szCs w:val="20"/>
        </w:rPr>
      </w:pPr>
      <w:r>
        <w:rPr>
          <w:b/>
          <w:bCs/>
        </w:rPr>
        <w:t xml:space="preserve">California Constitution - Article I, Section 1: </w:t>
      </w:r>
      <w:r>
        <w:rPr/>
        <w:t>The inalienable right to privacy may be implicated when consent mechanisms fail to provide meaningful control over personal information.</w:t>
      </w:r>
    </w:p>
    <w:p>
      <w:pPr>
        <w:pStyle w:val="Heading1"/>
        <w:rPr/>
      </w:pPr>
      <w:r>
        <w:rPr/>
        <w:t>Conclusion</w:t>
      </w:r>
    </w:p>
    <w:p>
      <w:pPr>
        <w:pStyle w:val="Normal"/>
        <w:spacing w:before="0" w:after="200"/>
        <w:rPr/>
      </w:pPr>
      <w:r>
        <w:rPr/>
        <w:t>The opt-out paradox demonstrates that consent mechanisms, as currently implemented, do not provide users with meaningful control over third-party data collection. The technical infrastructure of tracking continues to operate regardless of user preference—the "choice" presented to consumers is largely theatrical from a network traffic perspective.</w:t>
      </w:r>
    </w:p>
    <w:p>
      <w:pPr>
        <w:pStyle w:val="Normal"/>
        <w:spacing w:before="0" w:after="200"/>
        <w:rPr/>
      </w:pPr>
      <w:r>
        <w:rPr/>
        <w:t>This finding supports the position that current consent frameworks may be insufficient to protect consumer privacy under California law, and that the presence of tracking infrastructure itself—regardless of consent signals—may constitute a violation of statutory privacy protections.</w:t>
      </w:r>
    </w:p>
    <w:p>
      <w:pPr>
        <w:pStyle w:val="Normal"/>
        <w:spacing w:before="480" w:after="0"/>
        <w:rPr/>
      </w:pPr>
      <w:r>
        <w:rPr>
          <w:i/>
          <w:iCs/>
          <w:color w:val="666666"/>
          <w:sz w:val="20"/>
          <w:szCs w:val="20"/>
        </w:rPr>
        <w:t>This document describes technical findings and does not constitute legal advice. The observations herein are based on automated privacy scanning tools and network traffic analysis.</w:t>
      </w:r>
    </w:p>
    <w:sectPr>
      <w:headerReference w:type="default" r:id="rId2"/>
      <w:footerReference w:type="default" r:id="rId3"/>
      <w:type w:val="nextPage"/>
      <w:pgSz w:w="11906" w:h="16838"/>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sz w:val="20"/>
        <w:szCs w:val="20"/>
      </w:rPr>
      <w:t xml:space="preserve">Page </w:t>
    </w:r>
    <w:r>
      <w:rPr/>
      <w:fldChar w:fldCharType="begin"/>
    </w:r>
    <w:r>
      <w:rPr/>
      <w:instrText xml:space="preserve"> PAGE </w:instrText>
    </w:r>
    <w:r>
      <w:rPr/>
      <w:fldChar w:fldCharType="separate"/>
    </w:r>
    <w:r>
      <w:rPr/>
      <w:t>2</w:t>
    </w:r>
    <w:r>
      <w:rPr/>
      <w:fldChar w:fldCharType="end"/>
    </w:r>
    <w:r>
      <w:rPr>
        <w:sz w:val="20"/>
        <w:szCs w:val="20"/>
      </w:rPr>
      <w:t xml:space="preserve"> of </w:t>
    </w:r>
    <w:r>
      <w:rPr/>
      <w:fldChar w:fldCharType="begin"/>
    </w:r>
    <w:r>
      <w:rPr/>
      <w:instrText xml:space="preserve"> NUMPAGES </w:instrText>
    </w:r>
    <w:r>
      <w:rPr/>
      <w:fldChar w:fldCharType="separate"/>
    </w:r>
    <w:r>
      <w:rPr/>
      <w:t>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right"/>
      <w:rPr/>
    </w:pPr>
    <w:r>
      <w:rPr>
        <w:i/>
        <w:iCs/>
        <w:color w:val="666666"/>
        <w:sz w:val="20"/>
        <w:szCs w:val="20"/>
      </w:rPr>
      <w:t>Privacy Investigation Finding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auto"/>
      <w:kern w:val="0"/>
      <w:sz w:val="24"/>
      <w:szCs w:val="24"/>
      <w:lang w:val="en-US" w:eastAsia="zh-CN" w:bidi="hi-IN"/>
    </w:rPr>
  </w:style>
  <w:style w:type="paragraph" w:styleId="Heading1">
    <w:name w:val="Heading 1"/>
    <w:basedOn w:val="Heading"/>
    <w:qFormat/>
    <w:pPr>
      <w:spacing w:before="360" w:after="120"/>
      <w:outlineLvl w:val="0"/>
    </w:pPr>
    <w:rPr>
      <w:rFonts w:ascii="Arial" w:hAnsi="Arial" w:eastAsia="Arial" w:cs="Arial"/>
      <w:b/>
      <w:bCs/>
      <w:color w:val="2F5496"/>
      <w:sz w:val="32"/>
      <w:szCs w:val="32"/>
    </w:rPr>
  </w:style>
  <w:style w:type="paragraph" w:styleId="Heading2">
    <w:name w:val="Heading 2"/>
    <w:basedOn w:val="Heading"/>
    <w:qFormat/>
    <w:pPr>
      <w:spacing w:before="240" w:after="120"/>
      <w:outlineLvl w:val="1"/>
    </w:pPr>
    <w:rPr>
      <w:rFonts w:ascii="Arial" w:hAnsi="Arial" w:eastAsia="Arial" w:cs="Arial"/>
      <w:b/>
      <w:bCs/>
      <w:color w:val="2F5496"/>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Reference"/>
    <w:rPr>
      <w:vertAlign w:val="superscript"/>
    </w:rPr>
  </w:style>
  <w:style w:type="character" w:styleId="FootnoteTextChar">
    <w:name w:val="Footnote Text Char"/>
    <w:link w:val="Footnote"/>
    <w:uiPriority w:val="99"/>
    <w:semiHidden/>
    <w:unhideWhenUsed/>
    <w:qFormat/>
    <w:rPr>
      <w:sz w:val="20"/>
      <w:szCs w:val="20"/>
    </w:rPr>
  </w:style>
  <w:style w:type="paragraph" w:styleId="Heading">
    <w:name w:val="Heading"/>
    <w:basedOn w:val="Normal"/>
    <w:next w:val="TextBody"/>
    <w:qFormat/>
    <w:pPr>
      <w:keepNext w:val="true"/>
      <w:spacing w:before="240" w:after="120"/>
    </w:pPr>
    <w:rPr>
      <w:rFonts w:ascii="Liberation Sans" w:hAnsi="Liberation Sans" w:eastAsia="Noto Sans" w:cs="FreeSan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spacing w:before="0" w:after="240"/>
      <w:jc w:val="center"/>
    </w:pPr>
    <w:rPr>
      <w:rFonts w:ascii="Arial" w:hAnsi="Arial" w:eastAsia="Arial" w:cs="Arial"/>
      <w:b/>
      <w:bCs/>
      <w:color w:val="000000"/>
      <w:sz w:val="48"/>
      <w:szCs w:val="48"/>
    </w:rPr>
  </w:style>
  <w:style w:type="paragraph" w:styleId="Strong">
    <w:name w:val="Strong"/>
    <w:qFormat/>
    <w:pPr>
      <w:widowControl/>
      <w:bidi w:val="0"/>
      <w:spacing w:before="0" w:after="0"/>
      <w:jc w:val="left"/>
    </w:pPr>
    <w:rPr>
      <w:rFonts w:ascii="Arial" w:hAnsi="Arial" w:eastAsia="Arial" w:cs="Arial"/>
      <w:b/>
      <w:bCs/>
      <w:color w:val="auto"/>
      <w:kern w:val="0"/>
      <w:sz w:val="24"/>
      <w:szCs w:val="24"/>
      <w:lang w:val="en-US" w:eastAsia="zh-CN" w:bidi="hi-IN"/>
    </w:rPr>
  </w:style>
  <w:style w:type="paragraph" w:styleId="ListParagraph">
    <w:name w:val="List Paragraph"/>
    <w:qFormat/>
    <w:pPr>
      <w:widowControl/>
      <w:bidi w:val="0"/>
      <w:spacing w:before="0" w:after="0"/>
      <w:jc w:val="left"/>
    </w:pPr>
    <w:rPr>
      <w:rFonts w:ascii="Arial" w:hAnsi="Arial" w:eastAsia="Arial" w:cs="Arial"/>
      <w:color w:val="auto"/>
      <w:kern w:val="0"/>
      <w:sz w:val="24"/>
      <w:szCs w:val="24"/>
      <w:lang w:val="en-US"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LibreOffice/7.4.7.2$Linux_X86_64 LibreOffice_project/40$Build-2</Application>
  <AppVersion>15.0000</AppVersion>
  <Pages>2</Pages>
  <Words>555</Words>
  <Characters>3363</Characters>
  <CharactersWithSpaces>3875</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2025-12-17T01:38:23Z</dcterms:created>
  <dc:creator>Un-named</dc:creator>
  <dc:description/>
  <dc:language>en-US</dc:language>
  <cp:lastModifiedBy/>
  <dcterms:modified xsi:type="dcterms:W3CDTF">2025-12-16T18:42:59Z</dcterms:modified>
  <cp:revision>2</cp:revision>
  <dc:subject/>
  <dc:title/>
</cp:coreProperties>
</file>