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6B7A" w14:textId="496A1DF7" w:rsidR="00500226" w:rsidRPr="00500226" w:rsidRDefault="00CE260D" w:rsidP="00500226">
      <w:pPr>
        <w:rPr>
          <w:lang w:val="en-US"/>
        </w:rPr>
      </w:pPr>
      <w:r>
        <w:rPr>
          <w:lang w:val="en-US"/>
        </w:rPr>
        <w:t>DNA was extracted from f</w:t>
      </w:r>
      <w:r w:rsidR="00F82F21" w:rsidRPr="00F82F21">
        <w:rPr>
          <w:lang w:val="en-US"/>
        </w:rPr>
        <w:t xml:space="preserve">aeces samples stored in silica </w:t>
      </w:r>
      <w:r w:rsidR="00F82F21">
        <w:rPr>
          <w:lang w:val="en-US"/>
        </w:rPr>
        <w:t>using the FastDNA</w:t>
      </w:r>
      <w:r w:rsidR="00F82F21">
        <w:rPr>
          <w:vertAlign w:val="superscript"/>
          <w:lang w:val="en-US"/>
        </w:rPr>
        <w:t>TM</w:t>
      </w:r>
      <w:r w:rsidR="00F82F21">
        <w:rPr>
          <w:lang w:val="en-US"/>
        </w:rPr>
        <w:t xml:space="preserve"> Spin Kit for Soil 2 mL (MP Biomedicals) according to the manufacturer’s instructions.</w:t>
      </w:r>
      <w:r>
        <w:rPr>
          <w:lang w:val="en-US"/>
        </w:rPr>
        <w:t xml:space="preserve"> </w:t>
      </w:r>
      <w:r w:rsidR="0096067B">
        <w:rPr>
          <w:lang w:val="en-US"/>
        </w:rPr>
        <w:t xml:space="preserve">Host identity was confirmed by </w:t>
      </w:r>
      <w:r w:rsidR="00E11144">
        <w:rPr>
          <w:lang w:val="en-US"/>
        </w:rPr>
        <w:t>Short</w:t>
      </w:r>
      <w:r w:rsidR="00EF659D">
        <w:rPr>
          <w:lang w:val="en-US"/>
        </w:rPr>
        <w:t xml:space="preserve"> Tandem Repeat</w:t>
      </w:r>
      <w:r w:rsidR="00E11144">
        <w:rPr>
          <w:lang w:val="en-US"/>
        </w:rPr>
        <w:t xml:space="preserve"> (STR) analysis as described in </w:t>
      </w:r>
      <w:r w:rsidR="00EF659D">
        <w:rPr>
          <w:lang w:val="en-US"/>
        </w:rPr>
        <w:t xml:space="preserve"> </w:t>
      </w:r>
      <w:commentRangeStart w:id="0"/>
      <w:commentRangeStart w:id="1"/>
      <w:r w:rsidR="0096067B" w:rsidRPr="00E11144">
        <w:rPr>
          <w:lang w:val="en-US"/>
        </w:rPr>
        <w:t>xxxxx</w:t>
      </w:r>
      <w:commentRangeEnd w:id="0"/>
      <w:r w:rsidR="00500226">
        <w:rPr>
          <w:rStyle w:val="CommentReference"/>
          <w:sz w:val="24"/>
          <w:szCs w:val="24"/>
          <w:lang w:val="en-US"/>
        </w:rPr>
        <w:commentReference w:id="0"/>
      </w:r>
      <w:commentRangeEnd w:id="1"/>
      <w:r w:rsidR="0062693F">
        <w:rPr>
          <w:rStyle w:val="CommentReference"/>
          <w:sz w:val="24"/>
          <w:szCs w:val="24"/>
          <w:lang w:val="en-US"/>
        </w:rPr>
        <w:commentReference w:id="1"/>
      </w:r>
      <w:r w:rsidR="0096067B">
        <w:rPr>
          <w:lang w:val="en-US"/>
        </w:rPr>
        <w:t xml:space="preserve">. </w:t>
      </w:r>
      <w:r>
        <w:rPr>
          <w:lang w:val="en-US"/>
        </w:rPr>
        <w:t>For plants, the internal transcribed spacer region of rDNA was amplified using the ITS-S2F and ITS4 primers (</w:t>
      </w:r>
      <w:r w:rsidR="0096067B">
        <w:rPr>
          <w:lang w:val="en-US"/>
        </w:rPr>
        <w:t xml:space="preserve">Chen et al. 2010, </w:t>
      </w:r>
      <w:r>
        <w:rPr>
          <w:lang w:val="en-US"/>
        </w:rPr>
        <w:t>White et al. 1990)</w:t>
      </w:r>
      <w:r w:rsidR="0096067B">
        <w:rPr>
          <w:lang w:val="en-US"/>
        </w:rPr>
        <w:t xml:space="preserve">, while for vertebrates, the mitochondrial 12S rDNA was amplified using the 12S_V5F and 12S_V5R primer pair (Riaz et al. 2011). </w:t>
      </w:r>
      <w:r w:rsidR="009A50F5">
        <w:rPr>
          <w:lang w:val="en-US"/>
        </w:rPr>
        <w:t xml:space="preserve">Both primer sets were modified to include terminal overhangs that would allow downstream PCR-based indexing with the Illumina DNA/RNA UD indexes (Illumina). The initial </w:t>
      </w:r>
      <w:commentRangeStart w:id="2"/>
      <w:commentRangeStart w:id="3"/>
      <w:commentRangeStart w:id="4"/>
      <w:r w:rsidR="009A50F5">
        <w:rPr>
          <w:lang w:val="en-US"/>
        </w:rPr>
        <w:t>PCR</w:t>
      </w:r>
      <w:commentRangeEnd w:id="2"/>
      <w:r w:rsidR="00DB3CAA">
        <w:rPr>
          <w:rStyle w:val="CommentReference"/>
          <w:sz w:val="24"/>
          <w:szCs w:val="24"/>
          <w:lang w:val="en-US"/>
        </w:rPr>
        <w:commentReference w:id="2"/>
      </w:r>
      <w:commentRangeEnd w:id="3"/>
      <w:r w:rsidR="00C9713E">
        <w:rPr>
          <w:rStyle w:val="CommentReference"/>
          <w:sz w:val="24"/>
          <w:szCs w:val="24"/>
          <w:lang w:val="en-US"/>
        </w:rPr>
        <w:commentReference w:id="3"/>
      </w:r>
      <w:commentRangeEnd w:id="4"/>
      <w:r w:rsidR="009F4BEF">
        <w:rPr>
          <w:rStyle w:val="CommentReference"/>
          <w:sz w:val="24"/>
          <w:szCs w:val="24"/>
          <w:lang w:val="en-US"/>
        </w:rPr>
        <w:commentReference w:id="4"/>
      </w:r>
      <w:r w:rsidR="009A50F5">
        <w:rPr>
          <w:lang w:val="en-US"/>
        </w:rPr>
        <w:t xml:space="preserve"> reactions for each marker were conducted in 25 µL volumes containing final concentrations of 1x KAPA HotStart HIFI Ready Mix, 0.</w:t>
      </w:r>
      <w:r w:rsidR="0082238E">
        <w:rPr>
          <w:lang w:val="en-US"/>
        </w:rPr>
        <w:t>2</w:t>
      </w:r>
      <w:r w:rsidR="009A50F5">
        <w:rPr>
          <w:lang w:val="en-US"/>
        </w:rPr>
        <w:t xml:space="preserve"> µM each of the forward and </w:t>
      </w:r>
      <w:r w:rsidR="009A50F5">
        <w:rPr>
          <w:lang w:val="en-US"/>
        </w:rPr>
        <w:t>reverse primers, and 1 ng/µL of template DNA</w:t>
      </w:r>
      <w:r w:rsidR="0082238E">
        <w:rPr>
          <w:lang w:val="en-US"/>
        </w:rPr>
        <w:t xml:space="preserve">, with the exception of the plant marker for samples from 2021, which used 0.5 µM each of the forward and reverse primers. </w:t>
      </w:r>
      <w:r w:rsidR="00AD419E">
        <w:rPr>
          <w:lang w:val="en-US"/>
        </w:rPr>
        <w:t>No template control (NTC)</w:t>
      </w:r>
      <w:r w:rsidR="00D81C10">
        <w:rPr>
          <w:lang w:val="en-US"/>
        </w:rPr>
        <w:t xml:space="preserve"> reactions</w:t>
      </w:r>
      <w:r w:rsidR="00AD419E">
        <w:rPr>
          <w:lang w:val="en-US"/>
        </w:rPr>
        <w:t xml:space="preserve"> were included </w:t>
      </w:r>
      <w:r w:rsidR="0013630C">
        <w:rPr>
          <w:lang w:val="en-US"/>
        </w:rPr>
        <w:t xml:space="preserve">in PCRs </w:t>
      </w:r>
      <w:r w:rsidR="00AD419E">
        <w:rPr>
          <w:lang w:val="en-US"/>
        </w:rPr>
        <w:t>for each primer set</w:t>
      </w:r>
      <w:r w:rsidR="00593E99">
        <w:rPr>
          <w:lang w:val="en-US"/>
        </w:rPr>
        <w:t xml:space="preserve"> for </w:t>
      </w:r>
      <w:r w:rsidR="0013630C">
        <w:rPr>
          <w:lang w:val="en-US"/>
        </w:rPr>
        <w:t>samples taken in 2022</w:t>
      </w:r>
      <w:r w:rsidR="00AD419E" w:rsidRPr="00FC6656">
        <w:rPr>
          <w:lang w:val="en-US"/>
        </w:rPr>
        <w:t>.</w:t>
      </w:r>
      <w:r w:rsidR="00AD419E" w:rsidRPr="0082238E">
        <w:rPr>
          <w:lang w:val="en-US"/>
        </w:rPr>
        <w:t xml:space="preserve"> </w:t>
      </w:r>
      <w:r w:rsidR="0082238E" w:rsidRPr="0082238E">
        <w:rPr>
          <w:lang w:val="en-US"/>
        </w:rPr>
        <w:t xml:space="preserve">Reaction conditions in the first PCR </w:t>
      </w:r>
      <w:r w:rsidR="0082238E">
        <w:rPr>
          <w:lang w:val="en-US"/>
        </w:rPr>
        <w:t xml:space="preserve">for plants </w:t>
      </w:r>
      <w:r w:rsidR="0082238E" w:rsidRPr="0082238E">
        <w:rPr>
          <w:lang w:val="en-US"/>
        </w:rPr>
        <w:t>were as follows: denaturating at 9</w:t>
      </w:r>
      <w:r w:rsidR="0082238E">
        <w:rPr>
          <w:lang w:val="en-US"/>
        </w:rPr>
        <w:t>5</w:t>
      </w:r>
      <w:r w:rsidR="0082238E" w:rsidRPr="0082238E">
        <w:rPr>
          <w:lang w:val="en-US"/>
        </w:rPr>
        <w:t xml:space="preserve"> °C for </w:t>
      </w:r>
      <w:r w:rsidR="0082238E">
        <w:rPr>
          <w:lang w:val="en-US"/>
        </w:rPr>
        <w:t xml:space="preserve">3 </w:t>
      </w:r>
      <w:r w:rsidR="0082238E" w:rsidRPr="0082238E">
        <w:rPr>
          <w:lang w:val="en-US"/>
        </w:rPr>
        <w:t>minutes</w:t>
      </w:r>
      <w:r w:rsidR="0082238E" w:rsidRPr="0082238E">
        <w:rPr>
          <w:lang w:val="en-US"/>
        </w:rPr>
        <w:t>, followed by 35 cycles of 9</w:t>
      </w:r>
      <w:r w:rsidR="0082238E">
        <w:rPr>
          <w:lang w:val="en-US"/>
        </w:rPr>
        <w:t>5</w:t>
      </w:r>
      <w:r w:rsidR="0082238E" w:rsidRPr="0082238E">
        <w:rPr>
          <w:lang w:val="en-US"/>
        </w:rPr>
        <w:t xml:space="preserve"> °C for 30 s, 56 °C</w:t>
      </w:r>
      <w:r w:rsidR="0082238E">
        <w:rPr>
          <w:lang w:val="en-US"/>
        </w:rPr>
        <w:t xml:space="preserve"> </w:t>
      </w:r>
      <w:r w:rsidR="0082238E" w:rsidRPr="0082238E">
        <w:rPr>
          <w:lang w:val="en-US"/>
        </w:rPr>
        <w:t xml:space="preserve">for 30 s, and 72 °C for 30 s, concluding with a final extension at 72 °C for </w:t>
      </w:r>
      <w:r w:rsidR="0082238E">
        <w:rPr>
          <w:lang w:val="en-US"/>
        </w:rPr>
        <w:t>10</w:t>
      </w:r>
      <w:r w:rsidR="0082238E" w:rsidRPr="0082238E">
        <w:rPr>
          <w:lang w:val="en-US"/>
        </w:rPr>
        <w:t xml:space="preserve"> minutes. Reaction conditions in the first PCR </w:t>
      </w:r>
      <w:r w:rsidR="0082238E">
        <w:rPr>
          <w:lang w:val="en-US"/>
        </w:rPr>
        <w:t xml:space="preserve">for vertebrates </w:t>
      </w:r>
      <w:r w:rsidR="0082238E" w:rsidRPr="0082238E">
        <w:rPr>
          <w:lang w:val="en-US"/>
        </w:rPr>
        <w:t>were as follows: denaturating at 9</w:t>
      </w:r>
      <w:r w:rsidR="0082238E">
        <w:rPr>
          <w:lang w:val="en-US"/>
        </w:rPr>
        <w:t>5</w:t>
      </w:r>
      <w:r w:rsidR="0082238E" w:rsidRPr="0082238E">
        <w:rPr>
          <w:lang w:val="en-US"/>
        </w:rPr>
        <w:t xml:space="preserve"> °C for </w:t>
      </w:r>
      <w:r w:rsidR="0082238E">
        <w:rPr>
          <w:lang w:val="en-US"/>
        </w:rPr>
        <w:t xml:space="preserve">5 </w:t>
      </w:r>
      <w:r w:rsidR="0082238E" w:rsidRPr="0082238E">
        <w:rPr>
          <w:lang w:val="en-US"/>
        </w:rPr>
        <w:t>minutes, followed by 35 cycles of 9</w:t>
      </w:r>
      <w:r w:rsidR="0082238E">
        <w:rPr>
          <w:lang w:val="en-US"/>
        </w:rPr>
        <w:t>5</w:t>
      </w:r>
      <w:r w:rsidR="0082238E" w:rsidRPr="0082238E">
        <w:rPr>
          <w:lang w:val="en-US"/>
        </w:rPr>
        <w:t xml:space="preserve"> °C for 30 s, </w:t>
      </w:r>
      <w:r w:rsidR="0082238E">
        <w:rPr>
          <w:lang w:val="en-US"/>
        </w:rPr>
        <w:t xml:space="preserve">60°C </w:t>
      </w:r>
      <w:r w:rsidR="0082238E" w:rsidRPr="0082238E">
        <w:rPr>
          <w:lang w:val="en-US"/>
        </w:rPr>
        <w:t xml:space="preserve">for 30 s, and 72 °C for </w:t>
      </w:r>
      <w:r w:rsidR="0082238E">
        <w:rPr>
          <w:lang w:val="en-US"/>
        </w:rPr>
        <w:t>1 min</w:t>
      </w:r>
      <w:r w:rsidR="0082238E" w:rsidRPr="0082238E">
        <w:rPr>
          <w:lang w:val="en-US"/>
        </w:rPr>
        <w:t xml:space="preserve">, concluding with a final extension at 72 °C for </w:t>
      </w:r>
      <w:r w:rsidR="0082238E">
        <w:rPr>
          <w:lang w:val="en-US"/>
        </w:rPr>
        <w:t>10</w:t>
      </w:r>
      <w:r w:rsidR="0082238E" w:rsidRPr="0082238E">
        <w:rPr>
          <w:lang w:val="en-US"/>
        </w:rPr>
        <w:t xml:space="preserve"> minutes. </w:t>
      </w:r>
      <w:r w:rsidR="00500226" w:rsidRPr="0082238E">
        <w:rPr>
          <w:lang w:val="en-US"/>
        </w:rPr>
        <w:t>Each PCR product was quality-checked using a 4200 TapeStation machine (Agilent, Santa Clara, California, USA)</w:t>
      </w:r>
      <w:r w:rsidR="00500226">
        <w:rPr>
          <w:lang w:val="en-US"/>
        </w:rPr>
        <w:t xml:space="preserve">. Samples from 2022 showing signs of residual primers or primer dimers were </w:t>
      </w:r>
      <w:r w:rsidR="00500226" w:rsidRPr="0082238E">
        <w:rPr>
          <w:lang w:val="en-US"/>
        </w:rPr>
        <w:t>purified with magnetic beads (MAG-BIND RXN PURE PLUS)</w:t>
      </w:r>
      <w:r w:rsidR="00500226">
        <w:rPr>
          <w:lang w:val="en-US"/>
        </w:rPr>
        <w:t xml:space="preserve"> in a 0.4:1 ratio (plants) or a 1.2:1 ratio (vertebrates)</w:t>
      </w:r>
      <w:r w:rsidR="00500226" w:rsidRPr="0082238E">
        <w:rPr>
          <w:lang w:val="en-US"/>
        </w:rPr>
        <w:t>.</w:t>
      </w:r>
      <w:r w:rsidR="00500226" w:rsidRPr="00500226">
        <w:rPr>
          <w:rFonts w:ascii="Times New Roman" w:eastAsia="Times New Roman" w:hAnsi="Times New Roman" w:cs="Times New Roman"/>
          <w:color w:val="000000"/>
          <w:kern w:val="0"/>
          <w:lang w:val="en-US" w:eastAsia="nb-NO"/>
          <w14:ligatures w14:val="none"/>
        </w:rPr>
        <w:t xml:space="preserve"> </w:t>
      </w:r>
      <w:r w:rsidR="0082238E" w:rsidRPr="0082238E">
        <w:rPr>
          <w:lang w:val="en-US"/>
        </w:rPr>
        <w:t>The second PCR was conducted according to Illumina's specifications for DNA/RNA DU Indexes.</w:t>
      </w:r>
      <w:r w:rsidR="0082238E">
        <w:rPr>
          <w:lang w:val="en-US"/>
        </w:rPr>
        <w:t xml:space="preserve"> </w:t>
      </w:r>
      <w:r w:rsidR="0082238E" w:rsidRPr="0082238E">
        <w:rPr>
          <w:lang w:val="en-US"/>
        </w:rPr>
        <w:t xml:space="preserve">Each </w:t>
      </w:r>
      <w:r w:rsidR="00500226">
        <w:rPr>
          <w:lang w:val="en-US"/>
        </w:rPr>
        <w:t xml:space="preserve">indexed </w:t>
      </w:r>
      <w:r w:rsidR="0082238E" w:rsidRPr="0082238E">
        <w:rPr>
          <w:lang w:val="en-US"/>
        </w:rPr>
        <w:t xml:space="preserve">PCR product was </w:t>
      </w:r>
      <w:r w:rsidR="00500226">
        <w:rPr>
          <w:lang w:val="en-US"/>
        </w:rPr>
        <w:t xml:space="preserve">again </w:t>
      </w:r>
      <w:r w:rsidR="0082238E" w:rsidRPr="0082238E">
        <w:rPr>
          <w:lang w:val="en-US"/>
        </w:rPr>
        <w:t>quality-checked using a 4200 TapeStation machine (Agilent, Santa Clara, California, USA) and purified with magnetic beads (MAG-BIND RXN PURE PLUS)</w:t>
      </w:r>
      <w:r w:rsidR="00500226">
        <w:rPr>
          <w:lang w:val="en-US"/>
        </w:rPr>
        <w:t xml:space="preserve"> in a 0.4:1 ratio</w:t>
      </w:r>
      <w:r w:rsidR="00A83E1A">
        <w:rPr>
          <w:lang w:val="en-US"/>
        </w:rPr>
        <w:t xml:space="preserve">, with the exception of the vertebrate marker in 2022, which used a </w:t>
      </w:r>
      <w:r w:rsidR="00500226">
        <w:rPr>
          <w:lang w:val="en-US"/>
        </w:rPr>
        <w:t>1:1 ratio</w:t>
      </w:r>
      <w:r w:rsidR="0082238E" w:rsidRPr="0082238E">
        <w:rPr>
          <w:lang w:val="en-US"/>
        </w:rPr>
        <w:t>.</w:t>
      </w:r>
      <w:r w:rsidR="00500226" w:rsidRPr="00500226">
        <w:rPr>
          <w:rFonts w:ascii="Times New Roman" w:eastAsia="Times New Roman" w:hAnsi="Times New Roman" w:cs="Times New Roman"/>
          <w:color w:val="000000"/>
          <w:kern w:val="0"/>
          <w:lang w:val="en-US" w:eastAsia="nb-NO"/>
          <w14:ligatures w14:val="none"/>
        </w:rPr>
        <w:t xml:space="preserve"> </w:t>
      </w:r>
      <w:r w:rsidR="00A83E1A">
        <w:rPr>
          <w:lang w:val="en-US"/>
        </w:rPr>
        <w:t xml:space="preserve">Each year, samples from the vertebrate marker </w:t>
      </w:r>
      <w:r w:rsidR="00500226" w:rsidRPr="00500226">
        <w:rPr>
          <w:lang w:val="en-US"/>
        </w:rPr>
        <w:t xml:space="preserve">were normalized and pooled into a library for sequencing </w:t>
      </w:r>
      <w:r w:rsidR="00A83E1A">
        <w:rPr>
          <w:lang w:val="en-US"/>
        </w:rPr>
        <w:t>in a PE 150 bp</w:t>
      </w:r>
      <w:r w:rsidR="00500226" w:rsidRPr="00500226">
        <w:rPr>
          <w:lang w:val="en-US"/>
        </w:rPr>
        <w:t xml:space="preserve"> </w:t>
      </w:r>
      <w:r w:rsidR="00A83E1A">
        <w:rPr>
          <w:lang w:val="en-US"/>
        </w:rPr>
        <w:t xml:space="preserve">run on </w:t>
      </w:r>
      <w:r w:rsidR="00500226" w:rsidRPr="00500226">
        <w:rPr>
          <w:lang w:val="en-US"/>
        </w:rPr>
        <w:t xml:space="preserve">a NovaSeq 6000 machine (Illumina, San Diego, California, USA) at the Norwegian Sequencing Centre in Oslo. </w:t>
      </w:r>
      <w:r w:rsidR="00A83E1A">
        <w:rPr>
          <w:lang w:val="en-US"/>
        </w:rPr>
        <w:t xml:space="preserve">Samples from the plant marker were also pooled by year and sequenced in a PE 250 bp run on a NovaSeq 6000 machine at the same facility. </w:t>
      </w:r>
      <w:r w:rsidR="00500226" w:rsidRPr="00500226">
        <w:rPr>
          <w:lang w:val="en-US"/>
        </w:rPr>
        <w:t xml:space="preserve">Raw sequence data has been deposited in the NCBI Sequence Read Archive (Accession </w:t>
      </w:r>
      <w:commentRangeStart w:id="5"/>
      <w:r w:rsidR="00500226" w:rsidRPr="00E11144">
        <w:rPr>
          <w:highlight w:val="yellow"/>
          <w:lang w:val="en-US"/>
        </w:rPr>
        <w:t>PRJNA</w:t>
      </w:r>
      <w:r w:rsidR="00A83E1A" w:rsidRPr="00E11144">
        <w:rPr>
          <w:highlight w:val="yellow"/>
          <w:lang w:val="en-US"/>
        </w:rPr>
        <w:t>xxxxx</w:t>
      </w:r>
      <w:r w:rsidR="00500226" w:rsidRPr="00E11144">
        <w:rPr>
          <w:highlight w:val="yellow"/>
          <w:lang w:val="en-US"/>
        </w:rPr>
        <w:t xml:space="preserve">: </w:t>
      </w:r>
      <w:r w:rsidR="00A83E1A" w:rsidRPr="00E11144">
        <w:rPr>
          <w:highlight w:val="yellow"/>
          <w:lang w:val="en-US"/>
        </w:rPr>
        <w:t>xxxxTITLExxxxxx</w:t>
      </w:r>
      <w:r w:rsidR="00500226" w:rsidRPr="00500226">
        <w:rPr>
          <w:lang w:val="en-US"/>
        </w:rPr>
        <w:t>)</w:t>
      </w:r>
      <w:commentRangeEnd w:id="5"/>
      <w:r w:rsidR="00D8746D" w:rsidRPr="00500226">
        <w:rPr>
          <w:rStyle w:val="CommentReference"/>
          <w:sz w:val="24"/>
          <w:szCs w:val="24"/>
          <w:lang w:val="en-US"/>
        </w:rPr>
        <w:commentReference w:id="5"/>
      </w:r>
      <w:r w:rsidR="00500226" w:rsidRPr="00500226">
        <w:rPr>
          <w:lang w:val="en-US"/>
        </w:rPr>
        <w:t>.</w:t>
      </w:r>
    </w:p>
    <w:p w14:paraId="7B687EC9" w14:textId="45AF7317" w:rsidR="0096067B" w:rsidRDefault="00A83E1A">
      <w:pPr>
        <w:rPr>
          <w:lang w:val="en-US"/>
        </w:rPr>
      </w:pPr>
      <w:r>
        <w:rPr>
          <w:lang w:val="en-US"/>
        </w:rPr>
        <w:t xml:space="preserve">The data were demultiplexed and adapters removed on the Illumina NovaSeq 6000 sequencing platform. Primers were removed from both the 5’ and 3’ ends of reads using cutadapt v.3.7 (Martin 2011) with a minimum length match of 17 bp and 0.15 expected errors </w:t>
      </w:r>
      <w:r w:rsidR="00F55004">
        <w:rPr>
          <w:lang w:val="en-US"/>
        </w:rPr>
        <w:t xml:space="preserve">and no indels </w:t>
      </w:r>
      <w:r>
        <w:rPr>
          <w:lang w:val="en-US"/>
        </w:rPr>
        <w:t>in the primer region</w:t>
      </w:r>
      <w:r w:rsidR="00F55004">
        <w:rPr>
          <w:lang w:val="en-US"/>
        </w:rPr>
        <w:t xml:space="preserve"> for both markers.</w:t>
      </w:r>
      <w:r w:rsidR="00FB1BFA">
        <w:rPr>
          <w:lang w:val="en-US"/>
        </w:rPr>
        <w:t xml:space="preserve"> </w:t>
      </w:r>
      <w:r w:rsidR="00FB1BFA" w:rsidRPr="00FB1BFA">
        <w:rPr>
          <w:lang w:val="en-US"/>
        </w:rPr>
        <w:t xml:space="preserve">The DADA2 package in R (v1.9, Callahan et al. 2016) was used to quality filter, error correct, merge, map, and detect chimeras in the sequence data. Reads containing ambiguous bases, &gt;2 expected errors in the forward or reverse directions, or length &lt;50 bp after truncation at </w:t>
      </w:r>
      <w:r w:rsidR="00FB1BFA" w:rsidRPr="00FB1BFA">
        <w:rPr>
          <w:lang w:val="en-US"/>
        </w:rPr>
        <w:lastRenderedPageBreak/>
        <w:t>the first instance of a base with a quality score &lt;10 were excluded from the dataset. Error rate models with enforced monotonicity were estimated for forward and reverse sequences and after correction, reads were merged with a minimum required overlap of 30 bp. Amplicon sequence variants (ASVs) were inferred for each sample and chimeric sequence variants were assessed on a per-sample basis, as chimeric events occur at the individual PCR level. If a sequence variant was flagged as chimeric in more than 90% of the samples in which it occurred, it was removed.</w:t>
      </w:r>
      <w:r w:rsidR="00B06B30">
        <w:rPr>
          <w:lang w:val="en-US"/>
        </w:rPr>
        <w:t xml:space="preserve"> All ASVs occurring in an NTC were removed from those samples</w:t>
      </w:r>
      <w:r w:rsidR="001315F8">
        <w:rPr>
          <w:lang w:val="en-US"/>
        </w:rPr>
        <w:t xml:space="preserve"> amplified with the same PCR reaction mixture.</w:t>
      </w:r>
    </w:p>
    <w:p w14:paraId="50A1C2A8" w14:textId="047EBAE5" w:rsidR="00FB1BFA" w:rsidRDefault="00FB1BFA">
      <w:pPr>
        <w:rPr>
          <w:lang w:val="en-US"/>
        </w:rPr>
      </w:pPr>
      <w:r>
        <w:rPr>
          <w:lang w:val="en-US"/>
        </w:rPr>
        <w:t xml:space="preserve">The remaining high quality ASVs were then assigned taxonomy using the SINTAX algorithm for plants and the </w:t>
      </w:r>
      <w:r w:rsidR="00DB6FB7">
        <w:rPr>
          <w:lang w:val="en-US"/>
        </w:rPr>
        <w:t>RDP</w:t>
      </w:r>
      <w:r>
        <w:rPr>
          <w:lang w:val="en-US"/>
        </w:rPr>
        <w:t xml:space="preserve"> algorithm for vertebrates.  For plants, ASVs were assigned against</w:t>
      </w:r>
      <w:r w:rsidR="00D04898">
        <w:rPr>
          <w:lang w:val="en-US"/>
        </w:rPr>
        <w:t xml:space="preserve"> the region-specific PhyloNorway ITS2 database (Alsos et al. 2020) and the global PLANiTS ITS2 database (Banchi et al. 2020) using the SINTAX algorithm (</w:t>
      </w:r>
      <w:r w:rsidR="004A05B4">
        <w:rPr>
          <w:lang w:val="en-US"/>
        </w:rPr>
        <w:t>Edgar 2016</w:t>
      </w:r>
      <w:r w:rsidR="00D04898">
        <w:rPr>
          <w:lang w:val="en-US"/>
        </w:rPr>
        <w:t>) as implemented in vsearch</w:t>
      </w:r>
      <w:r w:rsidR="004A05B4">
        <w:rPr>
          <w:lang w:val="en-US"/>
        </w:rPr>
        <w:t xml:space="preserve"> v2.22.1 (Rognes et al. 2016) with a minimum required bootstrap support of 80% for successful assignment at a given taxonomic level.</w:t>
      </w:r>
      <w:r w:rsidR="00D04898">
        <w:rPr>
          <w:lang w:val="en-US"/>
        </w:rPr>
        <w:t xml:space="preserve"> </w:t>
      </w:r>
      <w:r w:rsidR="004A05B4">
        <w:rPr>
          <w:lang w:val="en-US"/>
        </w:rPr>
        <w:t>A</w:t>
      </w:r>
      <w:r w:rsidR="00D04898">
        <w:rPr>
          <w:lang w:val="en-US"/>
        </w:rPr>
        <w:t xml:space="preserve"> megablast search (Camacho et al. 2009) was </w:t>
      </w:r>
      <w:r w:rsidR="004A05B4">
        <w:rPr>
          <w:lang w:val="en-US"/>
        </w:rPr>
        <w:t xml:space="preserve">also </w:t>
      </w:r>
      <w:r w:rsidR="00D04898">
        <w:rPr>
          <w:lang w:val="en-US"/>
        </w:rPr>
        <w:t>made against the NCBI nucleotide non-redundant database (Sayers et al. 2022).</w:t>
      </w:r>
      <w:r w:rsidR="004A05B4">
        <w:rPr>
          <w:lang w:val="en-US"/>
        </w:rPr>
        <w:t xml:space="preserve"> ASVs lacking a successful assignment to Streptophyta in both PhyloNorway and PLANiTS, as well as a high quality blast match (&gt;90% identity and &gt;80% coverage) to the phylum Streptophyta, were automatically discarded as non-target amplifications. </w:t>
      </w:r>
      <w:r w:rsidR="00F75D65">
        <w:rPr>
          <w:lang w:val="en-US"/>
        </w:rPr>
        <w:t xml:space="preserve">ASVs with concurring assignments at the genus level in both PhyloNorway and PLANiTS, and a high quality blast match to the phylum Streptophyta were assigned taxonomy at the lowest possible level using the PhyloNorway database. ASVs lacking an assignment from the PhyloNorway database, but with a high quality blast match </w:t>
      </w:r>
      <w:r w:rsidR="001F2C94">
        <w:rPr>
          <w:lang w:val="en-US"/>
        </w:rPr>
        <w:t xml:space="preserve">to Streptophyta were assigned taxonomy at the lowest possible level using the PLANiTS database.  ASVs </w:t>
      </w:r>
      <w:r w:rsidR="004A05B4">
        <w:rPr>
          <w:lang w:val="en-US"/>
        </w:rPr>
        <w:t xml:space="preserve"> </w:t>
      </w:r>
      <w:r w:rsidR="00754809">
        <w:rPr>
          <w:lang w:val="en-US"/>
        </w:rPr>
        <w:t>with 1) conflicting assignments at the genus level between PhyloNorway and PLANiTS or 2) a low quality or non-Streptophyta BLAST match and a successful assignment within Streptophyta using PhyloNorway and/or PLANiTS were assessed manually as possible non-target amplifications taking into consideration the 20 best BLAST matches to account for possible misidentifications in GenBank or false positives in the SINTAX assignments. ASVs identified at the species level were categorized as possible anthropogenic food subsidies or diet items from the natural environment. ASVs identified to genera not found in the Norwegian flora as defined by NorTaxa (</w:t>
      </w:r>
      <w:r w:rsidR="006922B4">
        <w:rPr>
          <w:lang w:val="en-US"/>
        </w:rPr>
        <w:t>Artsdatabanken 2026</w:t>
      </w:r>
      <w:r w:rsidR="00754809">
        <w:rPr>
          <w:lang w:val="en-US"/>
        </w:rPr>
        <w:t xml:space="preserve">) were also included in the possible anthropogenic food subsidy category.   </w:t>
      </w:r>
    </w:p>
    <w:p w14:paraId="41CE2437" w14:textId="741F8D40" w:rsidR="00BA0F7C" w:rsidRPr="00206B86" w:rsidRDefault="003E5BEA">
      <w:pPr>
        <w:rPr>
          <w:lang w:val="en-US"/>
        </w:rPr>
      </w:pPr>
      <w:r>
        <w:rPr>
          <w:lang w:val="en-US"/>
        </w:rPr>
        <w:t xml:space="preserve">For vertebrates, ASVs were assigned </w:t>
      </w:r>
      <w:r w:rsidR="003957C1">
        <w:rPr>
          <w:lang w:val="en-US"/>
        </w:rPr>
        <w:t xml:space="preserve">taxonomy with </w:t>
      </w:r>
      <w:r>
        <w:rPr>
          <w:lang w:val="en-US"/>
        </w:rPr>
        <w:t xml:space="preserve">the Porter 12S database </w:t>
      </w:r>
      <w:r w:rsidR="000E4AEF">
        <w:rPr>
          <w:lang w:val="en-US"/>
        </w:rPr>
        <w:t>v2.0.0</w:t>
      </w:r>
      <w:r>
        <w:rPr>
          <w:lang w:val="en-US"/>
        </w:rPr>
        <w:t xml:space="preserve"> (</w:t>
      </w:r>
      <w:commentRangeStart w:id="6"/>
      <w:commentRangeStart w:id="7"/>
      <w:r w:rsidR="0071327F">
        <w:rPr>
          <w:lang w:val="en-US"/>
        </w:rPr>
        <w:t xml:space="preserve">Porter </w:t>
      </w:r>
      <w:r w:rsidR="002F7DB6">
        <w:rPr>
          <w:lang w:val="en-US"/>
        </w:rPr>
        <w:t>2021</w:t>
      </w:r>
      <w:commentRangeEnd w:id="6"/>
      <w:r w:rsidR="003C382E">
        <w:rPr>
          <w:rStyle w:val="CommentReference"/>
          <w:sz w:val="24"/>
          <w:szCs w:val="24"/>
          <w:lang w:val="en-US"/>
        </w:rPr>
        <w:commentReference w:id="6"/>
      </w:r>
      <w:commentRangeEnd w:id="7"/>
      <w:r w:rsidR="00043FAF">
        <w:rPr>
          <w:rStyle w:val="CommentReference"/>
          <w:sz w:val="24"/>
          <w:szCs w:val="24"/>
          <w:lang w:val="en-US"/>
        </w:rPr>
        <w:commentReference w:id="7"/>
      </w:r>
      <w:r>
        <w:rPr>
          <w:lang w:val="en-US"/>
        </w:rPr>
        <w:t>)</w:t>
      </w:r>
      <w:r w:rsidR="00B14D8F">
        <w:rPr>
          <w:lang w:val="en-US"/>
        </w:rPr>
        <w:t xml:space="preserve"> using the RDP </w:t>
      </w:r>
      <w:r w:rsidR="006041E3">
        <w:rPr>
          <w:lang w:val="en-US"/>
        </w:rPr>
        <w:t>classifier</w:t>
      </w:r>
      <w:r w:rsidR="00B14D8F">
        <w:rPr>
          <w:lang w:val="en-US"/>
        </w:rPr>
        <w:t xml:space="preserve"> </w:t>
      </w:r>
      <w:r w:rsidR="00AC4D98" w:rsidRPr="00AC4D98">
        <w:rPr>
          <w:lang w:val="en-US"/>
        </w:rPr>
        <w:t xml:space="preserve">(Wang et al. 2007) </w:t>
      </w:r>
      <w:r w:rsidR="00904E8C">
        <w:rPr>
          <w:lang w:val="en-US"/>
        </w:rPr>
        <w:t xml:space="preserve">implemented in </w:t>
      </w:r>
      <w:commentRangeStart w:id="8"/>
      <w:r w:rsidR="00904E8C">
        <w:rPr>
          <w:lang w:val="en-US"/>
        </w:rPr>
        <w:t xml:space="preserve">RDPTools </w:t>
      </w:r>
      <w:r w:rsidR="00597BC5">
        <w:rPr>
          <w:lang w:val="en-US"/>
        </w:rPr>
        <w:t>v</w:t>
      </w:r>
      <w:r w:rsidR="00B7578E">
        <w:rPr>
          <w:lang w:val="en-US"/>
        </w:rPr>
        <w:t>2.0.2</w:t>
      </w:r>
      <w:r w:rsidR="00904E8C">
        <w:rPr>
          <w:lang w:val="en-US"/>
        </w:rPr>
        <w:t xml:space="preserve"> </w:t>
      </w:r>
      <w:commentRangeEnd w:id="8"/>
      <w:r w:rsidR="00597BC5">
        <w:rPr>
          <w:rStyle w:val="CommentReference"/>
          <w:sz w:val="24"/>
          <w:szCs w:val="24"/>
          <w:lang w:val="en-US"/>
        </w:rPr>
        <w:commentReference w:id="8"/>
      </w:r>
      <w:r w:rsidR="00904E8C">
        <w:rPr>
          <w:lang w:val="en-US"/>
        </w:rPr>
        <w:t>(</w:t>
      </w:r>
      <w:hyperlink r:id="rId9" w:history="1">
        <w:r w:rsidR="00B16872" w:rsidRPr="00A36F0D">
          <w:rPr>
            <w:rStyle w:val="Hyperlink"/>
            <w:lang w:val="en-US"/>
          </w:rPr>
          <w:t>https://github.com/rdpstaff/RDPTools</w:t>
        </w:r>
      </w:hyperlink>
      <w:r w:rsidR="00904E8C">
        <w:rPr>
          <w:lang w:val="en-US"/>
        </w:rPr>
        <w:t xml:space="preserve">). </w:t>
      </w:r>
      <w:r w:rsidR="004A737F">
        <w:rPr>
          <w:lang w:val="en-US"/>
        </w:rPr>
        <w:t>Due to poor representation of Norwegian rodent species in the Porter database,</w:t>
      </w:r>
      <w:r w:rsidR="00480F75">
        <w:rPr>
          <w:lang w:val="en-US"/>
        </w:rPr>
        <w:t xml:space="preserve"> </w:t>
      </w:r>
      <w:r w:rsidR="0095205A">
        <w:rPr>
          <w:lang w:val="en-US"/>
        </w:rPr>
        <w:t xml:space="preserve">ASVs were also </w:t>
      </w:r>
      <w:r w:rsidR="005F48ED">
        <w:rPr>
          <w:lang w:val="en-US"/>
        </w:rPr>
        <w:t>compared to</w:t>
      </w:r>
      <w:r w:rsidR="004A737F">
        <w:rPr>
          <w:lang w:val="en-US"/>
        </w:rPr>
        <w:t xml:space="preserve"> </w:t>
      </w:r>
      <w:r w:rsidR="006D00E7">
        <w:rPr>
          <w:lang w:val="en-US"/>
        </w:rPr>
        <w:t xml:space="preserve">a custom 12S database of Norwegian </w:t>
      </w:r>
      <w:r w:rsidR="007A7137">
        <w:rPr>
          <w:lang w:val="en-US"/>
        </w:rPr>
        <w:t>mammalian</w:t>
      </w:r>
      <w:r w:rsidR="006D00E7">
        <w:rPr>
          <w:lang w:val="en-US"/>
        </w:rPr>
        <w:t xml:space="preserve"> species</w:t>
      </w:r>
      <w:r w:rsidR="005F48ED">
        <w:rPr>
          <w:lang w:val="en-US"/>
        </w:rPr>
        <w:t xml:space="preserve"> (REF/table with ref sequences?)</w:t>
      </w:r>
      <w:r w:rsidR="006D00E7">
        <w:rPr>
          <w:lang w:val="en-US"/>
        </w:rPr>
        <w:t xml:space="preserve"> </w:t>
      </w:r>
      <w:r w:rsidR="005F48ED">
        <w:rPr>
          <w:lang w:val="en-US"/>
        </w:rPr>
        <w:t xml:space="preserve">with RDP. </w:t>
      </w:r>
      <w:r w:rsidR="004A0E4C">
        <w:rPr>
          <w:lang w:val="en-US"/>
        </w:rPr>
        <w:t>A</w:t>
      </w:r>
      <w:r w:rsidR="00EE54D2">
        <w:rPr>
          <w:lang w:val="en-US"/>
        </w:rPr>
        <w:t>SVs were also searched against the NCBI nucleotide non-redundant database (Sayers et al. 2022)</w:t>
      </w:r>
      <w:r w:rsidR="00D81FEF">
        <w:rPr>
          <w:lang w:val="en-US"/>
        </w:rPr>
        <w:t xml:space="preserve"> using </w:t>
      </w:r>
      <w:r w:rsidR="00D54A9A" w:rsidRPr="00206B86">
        <w:rPr>
          <w:lang w:val="en-US"/>
        </w:rPr>
        <w:t xml:space="preserve">megablast (Camacho et al. 2009). </w:t>
      </w:r>
      <w:r w:rsidR="006E5E3A" w:rsidRPr="00206B86">
        <w:rPr>
          <w:lang w:val="en-US"/>
        </w:rPr>
        <w:t>ASVs were assigned to the lowest</w:t>
      </w:r>
      <w:r w:rsidR="009B744C">
        <w:rPr>
          <w:lang w:val="en-US"/>
        </w:rPr>
        <w:t xml:space="preserve"> </w:t>
      </w:r>
      <w:r w:rsidR="009B744C">
        <w:rPr>
          <w:lang w:val="en-US"/>
        </w:rPr>
        <w:lastRenderedPageBreak/>
        <w:t>possible</w:t>
      </w:r>
      <w:r w:rsidR="006E5E3A" w:rsidRPr="00206B86">
        <w:rPr>
          <w:lang w:val="en-US"/>
        </w:rPr>
        <w:t xml:space="preserve"> taxonomic level within the phylum </w:t>
      </w:r>
      <w:r w:rsidR="00474107" w:rsidRPr="00474107">
        <w:rPr>
          <w:lang w:val="en-US"/>
        </w:rPr>
        <w:t>Chordata</w:t>
      </w:r>
      <w:r w:rsidR="00474107">
        <w:rPr>
          <w:lang w:val="en-US"/>
        </w:rPr>
        <w:t xml:space="preserve"> </w:t>
      </w:r>
      <w:r w:rsidR="006E5E3A" w:rsidRPr="00206B86">
        <w:rPr>
          <w:lang w:val="en-US"/>
        </w:rPr>
        <w:t xml:space="preserve">with &gt;80% confidence score in </w:t>
      </w:r>
      <w:r w:rsidR="00474107">
        <w:rPr>
          <w:lang w:val="en-US"/>
        </w:rPr>
        <w:t xml:space="preserve">RDP and </w:t>
      </w:r>
      <w:r w:rsidR="006E5E3A" w:rsidRPr="00206B86">
        <w:rPr>
          <w:lang w:val="en-US"/>
        </w:rPr>
        <w:t>a best BLAST match of &gt;75% identity and &gt;</w:t>
      </w:r>
      <w:r w:rsidR="00474107">
        <w:rPr>
          <w:lang w:val="en-US"/>
        </w:rPr>
        <w:t>75</w:t>
      </w:r>
      <w:r w:rsidR="006E5E3A" w:rsidRPr="00206B86">
        <w:rPr>
          <w:lang w:val="en-US"/>
        </w:rPr>
        <w:t>% coverage against the NCBI database.</w:t>
      </w:r>
      <w:r w:rsidR="000C3562">
        <w:rPr>
          <w:lang w:val="en-US"/>
        </w:rPr>
        <w:t xml:space="preserve"> </w:t>
      </w:r>
      <w:r w:rsidR="00B12AD4">
        <w:rPr>
          <w:lang w:val="en-US"/>
        </w:rPr>
        <w:t>Mammalian t</w:t>
      </w:r>
      <w:r w:rsidR="00162033">
        <w:rPr>
          <w:lang w:val="en-US"/>
        </w:rPr>
        <w:t xml:space="preserve">axonomic assignments </w:t>
      </w:r>
      <w:r w:rsidR="00115A50">
        <w:rPr>
          <w:lang w:val="en-US"/>
        </w:rPr>
        <w:t xml:space="preserve">by the general Porter database and the custom Norwegian database were compared. </w:t>
      </w:r>
      <w:r w:rsidR="00002AAF">
        <w:rPr>
          <w:lang w:val="en-US"/>
        </w:rPr>
        <w:t>Since the two databases agreed at higher taxonomic levels, the</w:t>
      </w:r>
      <w:r w:rsidR="00E25C3D">
        <w:rPr>
          <w:lang w:val="en-US"/>
        </w:rPr>
        <w:t xml:space="preserve"> result from the</w:t>
      </w:r>
      <w:r w:rsidR="00002AAF">
        <w:rPr>
          <w:lang w:val="en-US"/>
        </w:rPr>
        <w:t xml:space="preserve"> database that </w:t>
      </w:r>
      <w:r w:rsidR="00E25C3D">
        <w:rPr>
          <w:lang w:val="en-US"/>
        </w:rPr>
        <w:t>provided</w:t>
      </w:r>
      <w:r w:rsidR="00002AAF">
        <w:rPr>
          <w:lang w:val="en-US"/>
        </w:rPr>
        <w:t xml:space="preserve"> the lowest taxonomic assignment </w:t>
      </w:r>
      <w:r w:rsidR="00E25C3D">
        <w:rPr>
          <w:lang w:val="en-US"/>
        </w:rPr>
        <w:t>(e.g. genus instead of order)</w:t>
      </w:r>
      <w:r w:rsidR="009F1AF7">
        <w:rPr>
          <w:lang w:val="en-US"/>
        </w:rPr>
        <w:t xml:space="preserve"> was retained. </w:t>
      </w:r>
      <w:r w:rsidR="007164D4">
        <w:rPr>
          <w:lang w:val="en-US"/>
        </w:rPr>
        <w:t>ASVs detected in the NTC were only assigned to the class level (</w:t>
      </w:r>
      <w:r w:rsidR="003D2066">
        <w:rPr>
          <w:lang w:val="en-US"/>
        </w:rPr>
        <w:t xml:space="preserve">all </w:t>
      </w:r>
      <w:r w:rsidR="007164D4">
        <w:rPr>
          <w:lang w:val="en-US"/>
        </w:rPr>
        <w:t xml:space="preserve">Mammalia) and were removed from all samples. </w:t>
      </w:r>
      <w:r w:rsidR="00746A79">
        <w:rPr>
          <w:lang w:val="en-US"/>
        </w:rPr>
        <w:t>ASVs identified at the family, genus and species level were categorized as possible anthropogenic food subsidies or diet items from the natural environment.</w:t>
      </w:r>
      <w:r w:rsidR="00F65FF9">
        <w:rPr>
          <w:lang w:val="en-US"/>
        </w:rPr>
        <w:t xml:space="preserve"> </w:t>
      </w:r>
    </w:p>
    <w:p w14:paraId="6C50AEB1" w14:textId="44E4B4A9" w:rsidR="0096067B" w:rsidRDefault="0096067B">
      <w:pPr>
        <w:rPr>
          <w:b/>
          <w:bCs/>
          <w:lang w:val="en-US"/>
        </w:rPr>
      </w:pPr>
      <w:r>
        <w:rPr>
          <w:b/>
          <w:bCs/>
          <w:lang w:val="en-US"/>
        </w:rPr>
        <w:t>References</w:t>
      </w:r>
    </w:p>
    <w:p w14:paraId="023B352E" w14:textId="78EDA6BF" w:rsidR="00D04898" w:rsidRDefault="00D04898" w:rsidP="004A05B4">
      <w:pPr>
        <w:spacing w:after="0"/>
      </w:pPr>
      <w:r w:rsidRPr="00D04898">
        <w:rPr>
          <w:lang w:val="en-US"/>
        </w:rPr>
        <w:t xml:space="preserve">Alsos, I. G., Lavergne, S., Merkel, M. K. F., Boleda, M., Lammers, Y., Alberti, A., Pouchon, C., Denoeud, F., Pitelkova, I., Pușcaș, M., Roquet, C., Hurdu, B.-I., Thuiller, W., Zimmermann, N. E., Hollingsworth, P. M., &amp; Coissac, E. (2020). The Treasure Vault Can be Opened: Large-Scale Genome Skimming Works Well Using Herbarium and Silica Gel Dried Material. </w:t>
      </w:r>
      <w:r w:rsidRPr="00D04898">
        <w:rPr>
          <w:i/>
          <w:iCs/>
        </w:rPr>
        <w:t>Plants</w:t>
      </w:r>
      <w:r w:rsidRPr="00D04898">
        <w:t xml:space="preserve">, </w:t>
      </w:r>
      <w:r w:rsidRPr="00D04898">
        <w:rPr>
          <w:i/>
          <w:iCs/>
        </w:rPr>
        <w:t>9</w:t>
      </w:r>
      <w:r w:rsidRPr="00D04898">
        <w:t xml:space="preserve">(4), 432. </w:t>
      </w:r>
      <w:hyperlink r:id="rId10" w:history="1">
        <w:r w:rsidRPr="00321629">
          <w:rPr>
            <w:rStyle w:val="Hyperlink"/>
          </w:rPr>
          <w:t>https://doi.org/10.3390/plants9040432</w:t>
        </w:r>
      </w:hyperlink>
    </w:p>
    <w:p w14:paraId="21271C1B" w14:textId="77777777" w:rsidR="004A05B4" w:rsidRPr="00C9713E" w:rsidRDefault="004A05B4" w:rsidP="004A05B4">
      <w:pPr>
        <w:spacing w:after="0"/>
      </w:pPr>
    </w:p>
    <w:p w14:paraId="1424E65E" w14:textId="67097C5A" w:rsidR="006922B4" w:rsidRPr="006922B4" w:rsidRDefault="006922B4" w:rsidP="006922B4">
      <w:pPr>
        <w:spacing w:after="0"/>
      </w:pPr>
      <w:r w:rsidRPr="006922B4">
        <w:t xml:space="preserve">Artsdatabanken. Nortaxa - Norsk taksonomisk register. </w:t>
      </w:r>
      <w:hyperlink r:id="rId11" w:history="1">
        <w:r w:rsidRPr="006922B4">
          <w:rPr>
            <w:rStyle w:val="Hyperlink"/>
          </w:rPr>
          <w:t xml:space="preserve">https://nortaxa.artsdatabanken.no. </w:t>
        </w:r>
      </w:hyperlink>
      <w:r w:rsidRPr="006922B4">
        <w:t xml:space="preserve">Nedlastet </w:t>
      </w:r>
      <w:r>
        <w:t>18.09</w:t>
      </w:r>
      <w:r w:rsidRPr="006922B4">
        <w:t>.2026</w:t>
      </w:r>
    </w:p>
    <w:p w14:paraId="299B086C" w14:textId="77777777" w:rsidR="006922B4" w:rsidRPr="00C9713E" w:rsidRDefault="006922B4" w:rsidP="004A05B4">
      <w:pPr>
        <w:spacing w:after="0"/>
      </w:pPr>
    </w:p>
    <w:p w14:paraId="5F4D9814" w14:textId="126436E7" w:rsidR="00FB1BFA" w:rsidRPr="00C9713E" w:rsidRDefault="00FB1BFA" w:rsidP="004A05B4">
      <w:pPr>
        <w:spacing w:after="0"/>
      </w:pPr>
      <w:r w:rsidRPr="00C9713E">
        <w:t>Callahan, B.J., McMurdie, P.J., Rosen, M.J., Han, A.W., Johnson, A.J.A., Holmes, S.P. (2016) DADA2: High-resolution sample inference from Illumina amplicon data. Nature Methods 13, 581-583.</w:t>
      </w:r>
    </w:p>
    <w:p w14:paraId="3C744CD1" w14:textId="77777777" w:rsidR="004A05B4" w:rsidRPr="00C9713E" w:rsidRDefault="004A05B4" w:rsidP="004A05B4">
      <w:pPr>
        <w:spacing w:after="0"/>
      </w:pPr>
    </w:p>
    <w:p w14:paraId="06347766" w14:textId="746E09A1" w:rsidR="00D04898" w:rsidRPr="00C9713E" w:rsidRDefault="00D04898" w:rsidP="004A05B4">
      <w:pPr>
        <w:spacing w:after="0"/>
      </w:pPr>
      <w:r w:rsidRPr="00C9713E">
        <w:t>Camacho, C., Coulouris, G., Avagyan, V., Ma, N., Papadopoulos, J., Bealer, K., Madden, T.L. (2009) BLAST+: Architecture and applications. BMC Bioinformatics. 10, 421.</w:t>
      </w:r>
    </w:p>
    <w:p w14:paraId="0D0C9E05" w14:textId="77777777" w:rsidR="004A05B4" w:rsidRPr="00C9713E" w:rsidRDefault="004A05B4" w:rsidP="004A05B4">
      <w:pPr>
        <w:spacing w:after="0"/>
      </w:pPr>
    </w:p>
    <w:p w14:paraId="5FC9B473" w14:textId="54B3B3FC" w:rsidR="0096067B" w:rsidRPr="00C9713E" w:rsidRDefault="0096067B" w:rsidP="004A05B4">
      <w:pPr>
        <w:spacing w:after="0"/>
        <w:rPr>
          <w:lang w:val="en-US"/>
        </w:rPr>
      </w:pPr>
      <w:r w:rsidRPr="00C9713E">
        <w:t xml:space="preserve">Chen S, Yao H, Han J, Liu C, Song J, Shi L, et al. (2010) Validation of the ITS2 Region as a Novel DNA Barcode for Identifying Medicinal Plant Species. </w:t>
      </w:r>
      <w:r w:rsidRPr="00C9713E">
        <w:rPr>
          <w:lang w:val="en-US"/>
        </w:rPr>
        <w:t xml:space="preserve">PLoS ONE 5(1): e8613. </w:t>
      </w:r>
      <w:hyperlink r:id="rId12" w:history="1">
        <w:r w:rsidRPr="00C9713E">
          <w:rPr>
            <w:rStyle w:val="Hyperlink"/>
            <w:lang w:val="en-US"/>
          </w:rPr>
          <w:t>https://doi.org/10.1371/journal.pone.0008613</w:t>
        </w:r>
      </w:hyperlink>
    </w:p>
    <w:p w14:paraId="619A8CE5" w14:textId="77777777" w:rsidR="004A05B4" w:rsidRDefault="004A05B4" w:rsidP="004A05B4">
      <w:pPr>
        <w:spacing w:after="0"/>
        <w:rPr>
          <w:lang w:val="en-US"/>
        </w:rPr>
      </w:pPr>
    </w:p>
    <w:p w14:paraId="7B7A3219" w14:textId="3816E6A1" w:rsidR="004A05B4" w:rsidRPr="004A05B4" w:rsidRDefault="004A05B4" w:rsidP="004A05B4">
      <w:pPr>
        <w:spacing w:after="0"/>
        <w:rPr>
          <w:lang w:val="en-US"/>
        </w:rPr>
      </w:pPr>
      <w:r w:rsidRPr="004A05B4">
        <w:rPr>
          <w:lang w:val="en-US"/>
        </w:rPr>
        <w:t>Edgar RC (2016) SINTAX: a simple non-Bayesian taxonomy classifier for 16S and ITS sequences. bioRxiv. doi:10.1101/074161</w:t>
      </w:r>
    </w:p>
    <w:p w14:paraId="6E167A30" w14:textId="77777777" w:rsidR="004A05B4" w:rsidRDefault="004A05B4" w:rsidP="004A05B4">
      <w:pPr>
        <w:spacing w:after="0"/>
        <w:rPr>
          <w:lang w:val="en-US"/>
        </w:rPr>
      </w:pPr>
    </w:p>
    <w:p w14:paraId="55593A59" w14:textId="6E989199" w:rsidR="00A83E1A" w:rsidRPr="00C9713E" w:rsidRDefault="00A83E1A" w:rsidP="004A05B4">
      <w:pPr>
        <w:spacing w:after="0"/>
        <w:rPr>
          <w:lang w:val="en-US"/>
        </w:rPr>
      </w:pPr>
      <w:r w:rsidRPr="00A83E1A">
        <w:rPr>
          <w:lang w:val="en-US"/>
        </w:rPr>
        <w:t xml:space="preserve">Martin, M. (2011). CUTADAPT removes adapter sequences from high-throughput sequencing reads. </w:t>
      </w:r>
      <w:r w:rsidRPr="00C9713E">
        <w:rPr>
          <w:lang w:val="en-US"/>
        </w:rPr>
        <w:t>EMBnet.journal, 17. https://doi.org/10.14806/ej.17.1.200</w:t>
      </w:r>
    </w:p>
    <w:p w14:paraId="3042D629" w14:textId="77777777" w:rsidR="004A05B4" w:rsidRPr="00C9713E" w:rsidRDefault="004A05B4" w:rsidP="004A05B4">
      <w:pPr>
        <w:spacing w:after="0"/>
        <w:rPr>
          <w:lang w:val="en-US"/>
        </w:rPr>
      </w:pPr>
    </w:p>
    <w:p w14:paraId="4726CEE5" w14:textId="011C284E" w:rsidR="0096067B" w:rsidRPr="00C9713E" w:rsidRDefault="0096067B" w:rsidP="004A05B4">
      <w:pPr>
        <w:spacing w:after="0"/>
        <w:rPr>
          <w:lang w:val="en-US"/>
        </w:rPr>
      </w:pPr>
      <w:r w:rsidRPr="00C9713E">
        <w:rPr>
          <w:lang w:val="en-US"/>
        </w:rPr>
        <w:t xml:space="preserve">Riaz T, Shehzad W, Viari A, Pompanon F, Taberlet P, Coissac E. ecoPrimers: inference of new DNA barcode markers from whole genome sequence analysis. </w:t>
      </w:r>
      <w:r w:rsidRPr="0096067B">
        <w:rPr>
          <w:lang w:val="en-US"/>
        </w:rPr>
        <w:t xml:space="preserve">Nucleic Acids Res. 2011 Nov;39(21):e145. doi: 10.1093/nar/gkr732. Epub 2011 Sep 19. </w:t>
      </w:r>
      <w:r w:rsidRPr="00C9713E">
        <w:rPr>
          <w:lang w:val="en-US"/>
        </w:rPr>
        <w:t>PMID: 21930509; PMCID: PMC3241669.</w:t>
      </w:r>
    </w:p>
    <w:p w14:paraId="252AC44A" w14:textId="77777777" w:rsidR="004A05B4" w:rsidRPr="00C9713E" w:rsidRDefault="004A05B4" w:rsidP="004A05B4">
      <w:pPr>
        <w:spacing w:after="0"/>
        <w:rPr>
          <w:lang w:val="en-US"/>
        </w:rPr>
      </w:pPr>
    </w:p>
    <w:p w14:paraId="6CD183A0" w14:textId="0F1EA19D" w:rsidR="004A05B4" w:rsidRPr="00C9713E" w:rsidRDefault="004A05B4" w:rsidP="004A05B4">
      <w:pPr>
        <w:spacing w:after="0"/>
        <w:rPr>
          <w:lang w:val="en-US"/>
        </w:rPr>
      </w:pPr>
      <w:r w:rsidRPr="00C9713E">
        <w:rPr>
          <w:lang w:val="en-US"/>
        </w:rPr>
        <w:t>Rognes T, Flouri T, Nichols B, Quince C, Mahé F. (2016) VSEARCH: a versatile open source tool for metagenomics. PeerJ 4:e2584. doi: 10.7717/peerj.2584</w:t>
      </w:r>
    </w:p>
    <w:p w14:paraId="797CE016" w14:textId="77777777" w:rsidR="004A05B4" w:rsidRPr="00C9713E" w:rsidRDefault="004A05B4" w:rsidP="004A05B4">
      <w:pPr>
        <w:spacing w:after="0"/>
        <w:rPr>
          <w:lang w:val="en-US"/>
        </w:rPr>
      </w:pPr>
    </w:p>
    <w:p w14:paraId="44D7301D" w14:textId="74B90835" w:rsidR="00D04898" w:rsidRDefault="00D04898" w:rsidP="004A05B4">
      <w:pPr>
        <w:spacing w:after="0"/>
        <w:rPr>
          <w:lang w:val="en-US"/>
        </w:rPr>
      </w:pPr>
      <w:r w:rsidRPr="00C9713E">
        <w:rPr>
          <w:lang w:val="en-US"/>
        </w:rPr>
        <w:t xml:space="preserve">Sayers, E.W., Bolton, E.E., Brister, J.R., Canese, K., Chan, J., Comeau, D.C., Connor, R. (2022) Database resources of the National Center for Biotechnology Information. </w:t>
      </w:r>
      <w:r w:rsidRPr="00D04898">
        <w:rPr>
          <w:lang w:val="en-US"/>
        </w:rPr>
        <w:t>Nucleic Acids Research 50, 20-26.</w:t>
      </w:r>
    </w:p>
    <w:p w14:paraId="0C0AB613" w14:textId="77777777" w:rsidR="004A05B4" w:rsidRDefault="004A05B4" w:rsidP="004A05B4">
      <w:pPr>
        <w:spacing w:after="0"/>
        <w:rPr>
          <w:lang w:val="en-US"/>
        </w:rPr>
      </w:pPr>
    </w:p>
    <w:p w14:paraId="4B6520A6" w14:textId="27D731AA" w:rsidR="00682F9C" w:rsidRDefault="00682F9C" w:rsidP="004A05B4">
      <w:pPr>
        <w:spacing w:after="0"/>
        <w:rPr>
          <w:lang w:val="en-US"/>
        </w:rPr>
      </w:pPr>
      <w:r w:rsidRPr="00682F9C">
        <w:rPr>
          <w:lang w:val="en-US"/>
        </w:rPr>
        <w:t>Porter</w:t>
      </w:r>
      <w:r>
        <w:rPr>
          <w:lang w:val="en-US"/>
        </w:rPr>
        <w:t>, T.M</w:t>
      </w:r>
      <w:r w:rsidRPr="00682F9C">
        <w:rPr>
          <w:lang w:val="en-US"/>
        </w:rPr>
        <w:t xml:space="preserve">. (2021) terrimporter/12SvertebrateClassifier: 12S Vertebrate Classifier v2.0.0. Zenodo. </w:t>
      </w:r>
      <w:hyperlink r:id="rId13" w:history="1">
        <w:r w:rsidR="00C6478D" w:rsidRPr="00A36F0D">
          <w:rPr>
            <w:rStyle w:val="Hyperlink"/>
            <w:lang w:val="en-US"/>
          </w:rPr>
          <w:t>https://zenodo.org/badge/latestdoi/391459819</w:t>
        </w:r>
      </w:hyperlink>
      <w:r w:rsidR="00C6478D">
        <w:rPr>
          <w:lang w:val="en-US"/>
        </w:rPr>
        <w:t xml:space="preserve"> </w:t>
      </w:r>
    </w:p>
    <w:p w14:paraId="4DF5BD44" w14:textId="77777777" w:rsidR="00682F9C" w:rsidRDefault="00682F9C" w:rsidP="004A05B4">
      <w:pPr>
        <w:spacing w:after="0"/>
        <w:rPr>
          <w:lang w:val="en-US"/>
        </w:rPr>
      </w:pPr>
    </w:p>
    <w:p w14:paraId="6031953B" w14:textId="17B25C23" w:rsidR="006F0C81" w:rsidRDefault="006F0C81" w:rsidP="006F0C81">
      <w:pPr>
        <w:rPr>
          <w:lang w:val="en-US"/>
        </w:rPr>
      </w:pPr>
      <w:r w:rsidRPr="00D80DA4">
        <w:rPr>
          <w:lang w:val="en-US"/>
        </w:rPr>
        <w:t>Wang</w:t>
      </w:r>
      <w:r>
        <w:rPr>
          <w:lang w:val="en-US"/>
        </w:rPr>
        <w:t>,</w:t>
      </w:r>
      <w:r w:rsidRPr="00D80DA4">
        <w:rPr>
          <w:lang w:val="en-US"/>
        </w:rPr>
        <w:t xml:space="preserve"> Q</w:t>
      </w:r>
      <w:r>
        <w:rPr>
          <w:lang w:val="en-US"/>
        </w:rPr>
        <w:t>.</w:t>
      </w:r>
      <w:r w:rsidRPr="00D80DA4">
        <w:rPr>
          <w:lang w:val="en-US"/>
        </w:rPr>
        <w:t>, Garrity</w:t>
      </w:r>
      <w:r>
        <w:rPr>
          <w:lang w:val="en-US"/>
        </w:rPr>
        <w:t>,</w:t>
      </w:r>
      <w:r w:rsidRPr="00D80DA4">
        <w:rPr>
          <w:lang w:val="en-US"/>
        </w:rPr>
        <w:t xml:space="preserve"> G</w:t>
      </w:r>
      <w:r>
        <w:rPr>
          <w:lang w:val="en-US"/>
        </w:rPr>
        <w:t>.</w:t>
      </w:r>
      <w:r w:rsidRPr="00D80DA4">
        <w:rPr>
          <w:lang w:val="en-US"/>
        </w:rPr>
        <w:t>M</w:t>
      </w:r>
      <w:r>
        <w:rPr>
          <w:lang w:val="en-US"/>
        </w:rPr>
        <w:t>.</w:t>
      </w:r>
      <w:r w:rsidRPr="00D80DA4">
        <w:rPr>
          <w:lang w:val="en-US"/>
        </w:rPr>
        <w:t>, Tiedje</w:t>
      </w:r>
      <w:r>
        <w:rPr>
          <w:lang w:val="en-US"/>
        </w:rPr>
        <w:t>,</w:t>
      </w:r>
      <w:r w:rsidRPr="00D80DA4">
        <w:rPr>
          <w:lang w:val="en-US"/>
        </w:rPr>
        <w:t xml:space="preserve"> J</w:t>
      </w:r>
      <w:r>
        <w:rPr>
          <w:lang w:val="en-US"/>
        </w:rPr>
        <w:t>.</w:t>
      </w:r>
      <w:r w:rsidRPr="00D80DA4">
        <w:rPr>
          <w:lang w:val="en-US"/>
        </w:rPr>
        <w:t>M</w:t>
      </w:r>
      <w:r>
        <w:rPr>
          <w:lang w:val="en-US"/>
        </w:rPr>
        <w:t>.</w:t>
      </w:r>
      <w:r w:rsidRPr="00D80DA4">
        <w:rPr>
          <w:lang w:val="en-US"/>
        </w:rPr>
        <w:t>, Cole</w:t>
      </w:r>
      <w:r>
        <w:rPr>
          <w:lang w:val="en-US"/>
        </w:rPr>
        <w:t>,</w:t>
      </w:r>
      <w:r w:rsidRPr="00D80DA4">
        <w:rPr>
          <w:lang w:val="en-US"/>
        </w:rPr>
        <w:t xml:space="preserve"> J</w:t>
      </w:r>
      <w:r>
        <w:rPr>
          <w:lang w:val="en-US"/>
        </w:rPr>
        <w:t>.</w:t>
      </w:r>
      <w:r w:rsidRPr="00D80DA4">
        <w:rPr>
          <w:lang w:val="en-US"/>
        </w:rPr>
        <w:t>R</w:t>
      </w:r>
      <w:r>
        <w:rPr>
          <w:lang w:val="en-US"/>
        </w:rPr>
        <w:t xml:space="preserve"> (2007)</w:t>
      </w:r>
      <w:r w:rsidRPr="00D80DA4">
        <w:rPr>
          <w:lang w:val="en-US"/>
        </w:rPr>
        <w:t xml:space="preserve"> Naive Bayesian classifier for rapid assignment of rRNA sequences into the new bacterial taxonomy. Appl Environ Microbiol. 73(16):5261-7. doi: 10.1128/AEM.00062-07</w:t>
      </w:r>
    </w:p>
    <w:p w14:paraId="714431A6" w14:textId="77777777" w:rsidR="006F0C81" w:rsidRDefault="006F0C81" w:rsidP="004A05B4">
      <w:pPr>
        <w:spacing w:after="0"/>
        <w:rPr>
          <w:lang w:val="en-US"/>
        </w:rPr>
      </w:pPr>
    </w:p>
    <w:p w14:paraId="60A54867" w14:textId="46AD93C5" w:rsidR="0096067B" w:rsidRPr="0096067B" w:rsidRDefault="0096067B" w:rsidP="004A05B4">
      <w:pPr>
        <w:spacing w:after="0"/>
        <w:rPr>
          <w:lang w:val="en-US"/>
        </w:rPr>
      </w:pPr>
      <w:r w:rsidRPr="0096067B">
        <w:rPr>
          <w:lang w:val="en-US"/>
        </w:rPr>
        <w:t xml:space="preserve">White, T. J., Bruns, T., Lee, S., &amp; Taylor, J. (1990). Amplification and direct sequencing of 886 fungal ribosomal RNA genes for phylogenetics. In Innis, M. A., Gelfand, D. H., 887 Sninsky, J. J., White, T. J. (Eds.), PCR protocols: a guide to methods and 888 applications (pp. 315–322). </w:t>
      </w:r>
      <w:r w:rsidRPr="0096067B">
        <w:t>New York: Academic Press.</w:t>
      </w:r>
    </w:p>
    <w:sectPr w:rsidR="0096067B" w:rsidRPr="0096067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e Davey" w:date="2026-10-12T16:30:00Z" w:initials="MD">
    <w:p w14:paraId="59CC0559" w14:textId="77777777" w:rsidR="0096067B" w:rsidRDefault="0096067B" w:rsidP="0096067B">
      <w:pPr>
        <w:pStyle w:val="CommentText"/>
      </w:pPr>
      <w:r>
        <w:rPr>
          <w:rStyle w:val="CommentReference"/>
        </w:rPr>
        <w:annotationRef/>
      </w:r>
      <w:r>
        <w:t>Not sure how this was done for the fjellrev that are rødrev samples and whether the remaining 2021 samples were also identified this way….</w:t>
      </w:r>
    </w:p>
  </w:comment>
  <w:comment w:id="1" w:author="Jaelle Caitlin Brealey" w:date="2026-10-20T20:23:00Z" w:initials="JB">
    <w:p w14:paraId="6DD6D471" w14:textId="77777777" w:rsidR="0062693F" w:rsidRDefault="0062693F" w:rsidP="0062693F">
      <w:pPr>
        <w:pStyle w:val="CommentText"/>
      </w:pPr>
      <w:r>
        <w:rPr>
          <w:rStyle w:val="CommentReference"/>
        </w:rPr>
        <w:annotationRef/>
      </w:r>
      <w:r>
        <w:rPr>
          <w:lang w:val="en-GB"/>
        </w:rPr>
        <w:t>Oddmund provided the genetic species ID for all the samples, I believe, so he should be able to provide the details (or a report we can cite)</w:t>
      </w:r>
    </w:p>
  </w:comment>
  <w:comment w:id="2" w:author="Jaelle Caitlin Brealey" w:date="2026-10-20T20:05:00Z" w:initials="JB">
    <w:p w14:paraId="183EECA4" w14:textId="77777777" w:rsidR="00DB3CAA" w:rsidRDefault="00DB3CAA" w:rsidP="00DB3CAA">
      <w:pPr>
        <w:pStyle w:val="CommentText"/>
      </w:pPr>
      <w:r>
        <w:rPr>
          <w:rStyle w:val="CommentReference"/>
        </w:rPr>
        <w:annotationRef/>
      </w:r>
      <w:r>
        <w:rPr>
          <w:lang w:val="en-GB"/>
        </w:rPr>
        <w:t>What about NTCs? I know we only had them for the last batch, but I guess we should still mention them?</w:t>
      </w:r>
    </w:p>
  </w:comment>
  <w:comment w:id="3" w:author="Marie Davey" w:date="2026-10-20T20:09:00Z" w:initials="MD">
    <w:p w14:paraId="3E328EDE" w14:textId="77777777" w:rsidR="00C9713E" w:rsidRDefault="00C9713E" w:rsidP="00C9713E">
      <w:pPr>
        <w:pStyle w:val="CommentText"/>
      </w:pPr>
      <w:r>
        <w:rPr>
          <w:rStyle w:val="CommentReference"/>
        </w:rPr>
        <w:annotationRef/>
      </w:r>
      <w:r>
        <w:t>Good point - definitely need to add them in! I corrected for them in the data, so it should probably be mentioned 😃</w:t>
      </w:r>
    </w:p>
  </w:comment>
  <w:comment w:id="4" w:author="Jaelle Caitlin Brealey" w:date="2026-10-20T20:12:00Z" w:initials="JB">
    <w:p w14:paraId="6ADB2768" w14:textId="77777777" w:rsidR="009F4BEF" w:rsidRDefault="009F4BEF" w:rsidP="009F4BEF">
      <w:pPr>
        <w:pStyle w:val="CommentText"/>
      </w:pPr>
      <w:r>
        <w:rPr>
          <w:rStyle w:val="CommentReference"/>
        </w:rPr>
        <w:annotationRef/>
      </w:r>
      <w:r>
        <w:rPr>
          <w:lang w:val="en-GB"/>
        </w:rPr>
        <w:t>I did too, which is why I thought of it ☺️</w:t>
      </w:r>
    </w:p>
  </w:comment>
  <w:comment w:id="5" w:author="Marie Davey" w:date="2026-10-22T16:01:00Z" w:initials="MD">
    <w:p w14:paraId="583CBA16" w14:textId="77777777" w:rsidR="00D8746D" w:rsidRDefault="00D8746D" w:rsidP="00D8746D">
      <w:pPr>
        <w:pStyle w:val="CommentText"/>
      </w:pPr>
      <w:r>
        <w:rPr>
          <w:rStyle w:val="CommentReference"/>
        </w:rPr>
        <w:annotationRef/>
      </w:r>
      <w:r>
        <w:t>We will package and submit to the raw data to SRA closer to submission.</w:t>
      </w:r>
    </w:p>
  </w:comment>
  <w:comment w:id="6" w:author="Jaelle Caitlin Brealey" w:date="2026-10-20T20:15:00Z" w:initials="JB">
    <w:p w14:paraId="052B9522" w14:textId="77777777" w:rsidR="003C382E" w:rsidRDefault="003C382E" w:rsidP="003C382E">
      <w:pPr>
        <w:pStyle w:val="CommentText"/>
      </w:pPr>
      <w:r>
        <w:rPr>
          <w:rStyle w:val="CommentReference"/>
        </w:rPr>
        <w:annotationRef/>
      </w:r>
      <w:r>
        <w:rPr>
          <w:lang w:val="en-GB"/>
        </w:rPr>
        <w:t>Does the version of the database we use include MitoFish? Because then we need to include Sato, Y., Miya, M., Fukunaga, T., Sado, T., Iwasaki, W., Kumar, S. (2018) MitoFish and MiFish Pipeline: A mitochondrial genome database of fish with an analysis pipeline for environmental DNA metabarcoding. Molecular Biology and Evolution, 35: 1553.</w:t>
      </w:r>
    </w:p>
  </w:comment>
  <w:comment w:id="7" w:author="Marie Davey" w:date="2026-10-22T16:04:00Z" w:initials="MD">
    <w:p w14:paraId="55FC545B" w14:textId="77777777" w:rsidR="00043FAF" w:rsidRDefault="00043FAF" w:rsidP="00043FAF">
      <w:pPr>
        <w:pStyle w:val="CommentText"/>
      </w:pPr>
      <w:r>
        <w:rPr>
          <w:rStyle w:val="CommentReference"/>
        </w:rPr>
        <w:annotationRef/>
      </w:r>
      <w:r>
        <w:t xml:space="preserve">As far as I can tell the Porter database was strictly genbank mining at this point.  </w:t>
      </w:r>
    </w:p>
  </w:comment>
  <w:comment w:id="8" w:author="Jaelle Caitlin Brealey" w:date="2026-10-20T20:10:00Z" w:initials="JB">
    <w:p w14:paraId="19F444CC" w14:textId="77777777" w:rsidR="00543A42" w:rsidRDefault="00597BC5" w:rsidP="00543A42">
      <w:pPr>
        <w:pStyle w:val="CommentText"/>
      </w:pPr>
      <w:r>
        <w:rPr>
          <w:rStyle w:val="CommentReference"/>
        </w:rPr>
        <w:annotationRef/>
      </w:r>
      <w:r w:rsidR="00543A42">
        <w:rPr>
          <w:lang w:val="en-GB"/>
        </w:rPr>
        <w:t>I guessed the version from the README last-modified date on the server, not sure if it’s correct? And I never know how to reference GitHub pages, for now I’ve just provided the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CC0559" w15:done="0"/>
  <w15:commentEx w15:paraId="6DD6D471" w15:paraIdParent="59CC0559" w15:done="0"/>
  <w15:commentEx w15:paraId="183EECA4" w15:done="1"/>
  <w15:commentEx w15:paraId="3E328EDE" w15:paraIdParent="183EECA4" w15:done="1"/>
  <w15:commentEx w15:paraId="6ADB2768" w15:paraIdParent="183EECA4" w15:done="1"/>
  <w15:commentEx w15:paraId="583CBA16" w15:done="0"/>
  <w15:commentEx w15:paraId="052B9522" w15:done="0"/>
  <w15:commentEx w15:paraId="55FC545B" w15:paraIdParent="052B9522" w15:done="0"/>
  <w15:commentEx w15:paraId="19F444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ECF37E" w16cex:dateUtc="2026-10-12T14:30:00Z"/>
  <w16cex:commentExtensible w16cex:durableId="0BA91E35" w16cex:dateUtc="2026-10-20T18:23:00Z"/>
  <w16cex:commentExtensible w16cex:durableId="36402EEE" w16cex:dateUtc="2026-10-20T18:05:00Z"/>
  <w16cex:commentExtensible w16cex:durableId="16E07DD9" w16cex:dateUtc="2026-10-20T18:09:00Z"/>
  <w16cex:commentExtensible w16cex:durableId="6918C71E" w16cex:dateUtc="2026-10-20T18:12:00Z"/>
  <w16cex:commentExtensible w16cex:durableId="63BB42D4" w16cex:dateUtc="2026-10-22T14:01:00Z"/>
  <w16cex:commentExtensible w16cex:durableId="010FDA7E" w16cex:dateUtc="2026-10-20T18:15:00Z"/>
  <w16cex:commentExtensible w16cex:durableId="25238089" w16cex:dateUtc="2026-10-22T14:04:00Z"/>
  <w16cex:commentExtensible w16cex:durableId="134D4F97" w16cex:dateUtc="2026-10-20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CC0559" w16cid:durableId="34ECF37E"/>
  <w16cid:commentId w16cid:paraId="6DD6D471" w16cid:durableId="0BA91E35"/>
  <w16cid:commentId w16cid:paraId="183EECA4" w16cid:durableId="36402EEE"/>
  <w16cid:commentId w16cid:paraId="3E328EDE" w16cid:durableId="16E07DD9"/>
  <w16cid:commentId w16cid:paraId="6ADB2768" w16cid:durableId="6918C71E"/>
  <w16cid:commentId w16cid:paraId="583CBA16" w16cid:durableId="63BB42D4"/>
  <w16cid:commentId w16cid:paraId="052B9522" w16cid:durableId="010FDA7E"/>
  <w16cid:commentId w16cid:paraId="55FC545B" w16cid:durableId="25238089"/>
  <w16cid:commentId w16cid:paraId="19F444CC" w16cid:durableId="134D4F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42809"/>
    <w:multiLevelType w:val="multilevel"/>
    <w:tmpl w:val="423C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245C95"/>
    <w:multiLevelType w:val="multilevel"/>
    <w:tmpl w:val="060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378180">
    <w:abstractNumId w:val="0"/>
  </w:num>
  <w:num w:numId="2" w16cid:durableId="6347193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e Davey">
    <w15:presenceInfo w15:providerId="AD" w15:userId="S::marie.davey@nina.no::5cb299ea-0cad-4aac-aee8-b1c843dbc7c2"/>
  </w15:person>
  <w15:person w15:author="Jaelle Caitlin Brealey">
    <w15:presenceInfo w15:providerId="AD" w15:userId="S::jaelle.brealey@nina.no::d9f67132-55cb-4cd4-ae6b-91c892608a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F21"/>
    <w:rsid w:val="00002AAF"/>
    <w:rsid w:val="00043FAF"/>
    <w:rsid w:val="00051E87"/>
    <w:rsid w:val="000730C5"/>
    <w:rsid w:val="000C3562"/>
    <w:rsid w:val="000E4AEF"/>
    <w:rsid w:val="000F7BD6"/>
    <w:rsid w:val="00115A50"/>
    <w:rsid w:val="001315F8"/>
    <w:rsid w:val="0013630C"/>
    <w:rsid w:val="00162033"/>
    <w:rsid w:val="001F2C94"/>
    <w:rsid w:val="002035EE"/>
    <w:rsid w:val="00206B86"/>
    <w:rsid w:val="002101B0"/>
    <w:rsid w:val="002470C6"/>
    <w:rsid w:val="002668B4"/>
    <w:rsid w:val="002F7DB6"/>
    <w:rsid w:val="00325709"/>
    <w:rsid w:val="003957C1"/>
    <w:rsid w:val="003C382E"/>
    <w:rsid w:val="003D2066"/>
    <w:rsid w:val="003E15A3"/>
    <w:rsid w:val="003E5BEA"/>
    <w:rsid w:val="00447F87"/>
    <w:rsid w:val="004517FB"/>
    <w:rsid w:val="00474107"/>
    <w:rsid w:val="00480F75"/>
    <w:rsid w:val="004A05B4"/>
    <w:rsid w:val="004A0E4C"/>
    <w:rsid w:val="004A737F"/>
    <w:rsid w:val="004E0322"/>
    <w:rsid w:val="004F23F5"/>
    <w:rsid w:val="00500226"/>
    <w:rsid w:val="00543A42"/>
    <w:rsid w:val="00593E99"/>
    <w:rsid w:val="00597BC5"/>
    <w:rsid w:val="005A3213"/>
    <w:rsid w:val="005A5A73"/>
    <w:rsid w:val="005B6F99"/>
    <w:rsid w:val="005D6D71"/>
    <w:rsid w:val="005E2340"/>
    <w:rsid w:val="005F48ED"/>
    <w:rsid w:val="006041E3"/>
    <w:rsid w:val="00605749"/>
    <w:rsid w:val="0062693F"/>
    <w:rsid w:val="006714E2"/>
    <w:rsid w:val="00682F9C"/>
    <w:rsid w:val="006922B4"/>
    <w:rsid w:val="006D00E7"/>
    <w:rsid w:val="006E5E3A"/>
    <w:rsid w:val="006F0514"/>
    <w:rsid w:val="006F0C81"/>
    <w:rsid w:val="0071327F"/>
    <w:rsid w:val="007162EC"/>
    <w:rsid w:val="007164D4"/>
    <w:rsid w:val="00746A79"/>
    <w:rsid w:val="00754809"/>
    <w:rsid w:val="007645A7"/>
    <w:rsid w:val="007955BF"/>
    <w:rsid w:val="007A4716"/>
    <w:rsid w:val="007A7137"/>
    <w:rsid w:val="0082238E"/>
    <w:rsid w:val="00827B79"/>
    <w:rsid w:val="00833EC4"/>
    <w:rsid w:val="0085592F"/>
    <w:rsid w:val="00866CD1"/>
    <w:rsid w:val="00904E8C"/>
    <w:rsid w:val="00945A9C"/>
    <w:rsid w:val="0095205A"/>
    <w:rsid w:val="0096067B"/>
    <w:rsid w:val="009636EC"/>
    <w:rsid w:val="009A50F5"/>
    <w:rsid w:val="009B744C"/>
    <w:rsid w:val="009F1AF7"/>
    <w:rsid w:val="009F4BEF"/>
    <w:rsid w:val="00A42E11"/>
    <w:rsid w:val="00A83E1A"/>
    <w:rsid w:val="00A860E0"/>
    <w:rsid w:val="00AC4D98"/>
    <w:rsid w:val="00AD419E"/>
    <w:rsid w:val="00B06B30"/>
    <w:rsid w:val="00B12AD4"/>
    <w:rsid w:val="00B14D8F"/>
    <w:rsid w:val="00B16872"/>
    <w:rsid w:val="00B7578E"/>
    <w:rsid w:val="00BA0F7C"/>
    <w:rsid w:val="00BA7B0D"/>
    <w:rsid w:val="00C17190"/>
    <w:rsid w:val="00C6478D"/>
    <w:rsid w:val="00C75E0F"/>
    <w:rsid w:val="00C9713E"/>
    <w:rsid w:val="00CA1229"/>
    <w:rsid w:val="00CA566B"/>
    <w:rsid w:val="00CC168F"/>
    <w:rsid w:val="00CD0AB9"/>
    <w:rsid w:val="00CE260D"/>
    <w:rsid w:val="00D04898"/>
    <w:rsid w:val="00D52747"/>
    <w:rsid w:val="00D54A9A"/>
    <w:rsid w:val="00D81C10"/>
    <w:rsid w:val="00D81FEF"/>
    <w:rsid w:val="00D8746D"/>
    <w:rsid w:val="00DB3CAA"/>
    <w:rsid w:val="00DB6FB7"/>
    <w:rsid w:val="00DE20E4"/>
    <w:rsid w:val="00DE44ED"/>
    <w:rsid w:val="00DF7CB8"/>
    <w:rsid w:val="00E11144"/>
    <w:rsid w:val="00E25C3D"/>
    <w:rsid w:val="00E60C94"/>
    <w:rsid w:val="00EE54D2"/>
    <w:rsid w:val="00EF659D"/>
    <w:rsid w:val="00F01725"/>
    <w:rsid w:val="00F4746E"/>
    <w:rsid w:val="00F47C66"/>
    <w:rsid w:val="00F55004"/>
    <w:rsid w:val="00F65FF9"/>
    <w:rsid w:val="00F75D65"/>
    <w:rsid w:val="00F82F21"/>
    <w:rsid w:val="00FB1BFA"/>
    <w:rsid w:val="00FC0BD3"/>
    <w:rsid w:val="00FC2879"/>
    <w:rsid w:val="00FC48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D481"/>
  <w15:chartTrackingRefBased/>
  <w15:docId w15:val="{B4D3DDA8-93A8-49D7-8CF8-B52414670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F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F21"/>
    <w:rPr>
      <w:rFonts w:eastAsiaTheme="majorEastAsia" w:cstheme="majorBidi"/>
      <w:color w:val="272727" w:themeColor="text1" w:themeTint="D8"/>
    </w:rPr>
  </w:style>
  <w:style w:type="paragraph" w:styleId="Title">
    <w:name w:val="Title"/>
    <w:basedOn w:val="Normal"/>
    <w:next w:val="Normal"/>
    <w:link w:val="TitleChar"/>
    <w:uiPriority w:val="10"/>
    <w:qFormat/>
    <w:rsid w:val="00F82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F21"/>
    <w:pPr>
      <w:spacing w:before="160"/>
      <w:jc w:val="center"/>
    </w:pPr>
    <w:rPr>
      <w:i/>
      <w:iCs/>
      <w:color w:val="404040" w:themeColor="text1" w:themeTint="BF"/>
    </w:rPr>
  </w:style>
  <w:style w:type="character" w:customStyle="1" w:styleId="QuoteChar">
    <w:name w:val="Quote Char"/>
    <w:basedOn w:val="DefaultParagraphFont"/>
    <w:link w:val="Quote"/>
    <w:uiPriority w:val="29"/>
    <w:rsid w:val="00F82F21"/>
    <w:rPr>
      <w:i/>
      <w:iCs/>
      <w:color w:val="404040" w:themeColor="text1" w:themeTint="BF"/>
    </w:rPr>
  </w:style>
  <w:style w:type="paragraph" w:styleId="ListParagraph">
    <w:name w:val="List Paragraph"/>
    <w:basedOn w:val="Normal"/>
    <w:uiPriority w:val="34"/>
    <w:qFormat/>
    <w:rsid w:val="00F82F21"/>
    <w:pPr>
      <w:ind w:left="720"/>
      <w:contextualSpacing/>
    </w:pPr>
  </w:style>
  <w:style w:type="character" w:styleId="IntenseEmphasis">
    <w:name w:val="Intense Emphasis"/>
    <w:basedOn w:val="DefaultParagraphFont"/>
    <w:uiPriority w:val="21"/>
    <w:qFormat/>
    <w:rsid w:val="00F82F21"/>
    <w:rPr>
      <w:i/>
      <w:iCs/>
      <w:color w:val="0F4761" w:themeColor="accent1" w:themeShade="BF"/>
    </w:rPr>
  </w:style>
  <w:style w:type="paragraph" w:styleId="IntenseQuote">
    <w:name w:val="Intense Quote"/>
    <w:basedOn w:val="Normal"/>
    <w:next w:val="Normal"/>
    <w:link w:val="IntenseQuoteChar"/>
    <w:uiPriority w:val="30"/>
    <w:qFormat/>
    <w:rsid w:val="00F82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F21"/>
    <w:rPr>
      <w:i/>
      <w:iCs/>
      <w:color w:val="0F4761" w:themeColor="accent1" w:themeShade="BF"/>
    </w:rPr>
  </w:style>
  <w:style w:type="character" w:styleId="IntenseReference">
    <w:name w:val="Intense Reference"/>
    <w:basedOn w:val="DefaultParagraphFont"/>
    <w:uiPriority w:val="32"/>
    <w:qFormat/>
    <w:rsid w:val="00F82F21"/>
    <w:rPr>
      <w:b/>
      <w:bCs/>
      <w:smallCaps/>
      <w:color w:val="0F4761" w:themeColor="accent1" w:themeShade="BF"/>
      <w:spacing w:val="5"/>
    </w:rPr>
  </w:style>
  <w:style w:type="character" w:styleId="Hyperlink">
    <w:name w:val="Hyperlink"/>
    <w:basedOn w:val="DefaultParagraphFont"/>
    <w:uiPriority w:val="99"/>
    <w:unhideWhenUsed/>
    <w:rsid w:val="0096067B"/>
    <w:rPr>
      <w:color w:val="467886" w:themeColor="hyperlink"/>
      <w:u w:val="single"/>
    </w:rPr>
  </w:style>
  <w:style w:type="character" w:styleId="UnresolvedMention">
    <w:name w:val="Unresolved Mention"/>
    <w:basedOn w:val="DefaultParagraphFont"/>
    <w:uiPriority w:val="99"/>
    <w:semiHidden/>
    <w:unhideWhenUsed/>
    <w:rsid w:val="0096067B"/>
    <w:rPr>
      <w:color w:val="605E5C"/>
      <w:shd w:val="clear" w:color="auto" w:fill="E1DFDD"/>
    </w:rPr>
  </w:style>
  <w:style w:type="character" w:styleId="CommentReference">
    <w:name w:val="annotation reference"/>
    <w:basedOn w:val="DefaultParagraphFont"/>
    <w:uiPriority w:val="99"/>
    <w:semiHidden/>
    <w:unhideWhenUsed/>
    <w:rsid w:val="0096067B"/>
    <w:rPr>
      <w:sz w:val="16"/>
      <w:szCs w:val="16"/>
    </w:rPr>
  </w:style>
  <w:style w:type="paragraph" w:styleId="CommentText">
    <w:name w:val="annotation text"/>
    <w:basedOn w:val="Normal"/>
    <w:link w:val="CommentTextChar"/>
    <w:uiPriority w:val="99"/>
    <w:unhideWhenUsed/>
    <w:rsid w:val="0096067B"/>
    <w:pPr>
      <w:spacing w:line="240" w:lineRule="auto"/>
    </w:pPr>
    <w:rPr>
      <w:sz w:val="20"/>
      <w:szCs w:val="20"/>
    </w:rPr>
  </w:style>
  <w:style w:type="character" w:customStyle="1" w:styleId="CommentTextChar">
    <w:name w:val="Comment Text Char"/>
    <w:basedOn w:val="DefaultParagraphFont"/>
    <w:link w:val="CommentText"/>
    <w:uiPriority w:val="99"/>
    <w:rsid w:val="0096067B"/>
    <w:rPr>
      <w:sz w:val="20"/>
      <w:szCs w:val="20"/>
    </w:rPr>
  </w:style>
  <w:style w:type="paragraph" w:styleId="CommentSubject">
    <w:name w:val="annotation subject"/>
    <w:basedOn w:val="CommentText"/>
    <w:next w:val="CommentText"/>
    <w:link w:val="CommentSubjectChar"/>
    <w:uiPriority w:val="99"/>
    <w:semiHidden/>
    <w:unhideWhenUsed/>
    <w:rsid w:val="0096067B"/>
    <w:rPr>
      <w:b/>
      <w:bCs/>
    </w:rPr>
  </w:style>
  <w:style w:type="character" w:customStyle="1" w:styleId="CommentSubjectChar">
    <w:name w:val="Comment Subject Char"/>
    <w:basedOn w:val="CommentTextChar"/>
    <w:link w:val="CommentSubject"/>
    <w:uiPriority w:val="99"/>
    <w:semiHidden/>
    <w:rsid w:val="0096067B"/>
    <w:rPr>
      <w:b/>
      <w:bCs/>
      <w:sz w:val="20"/>
      <w:szCs w:val="20"/>
    </w:rPr>
  </w:style>
  <w:style w:type="paragraph" w:styleId="NormalWeb">
    <w:name w:val="Normal (Web)"/>
    <w:basedOn w:val="Normal"/>
    <w:uiPriority w:val="99"/>
    <w:semiHidden/>
    <w:unhideWhenUsed/>
    <w:rsid w:val="00500226"/>
    <w:rPr>
      <w:rFonts w:ascii="Times New Roman" w:hAnsi="Times New Roman" w:cs="Times New Roman"/>
    </w:rPr>
  </w:style>
  <w:style w:type="paragraph" w:styleId="Revision">
    <w:name w:val="Revision"/>
    <w:hidden/>
    <w:uiPriority w:val="99"/>
    <w:semiHidden/>
    <w:rsid w:val="00945A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zenodo.org/badge/latestdoi/391459819"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doi.org/10.1371/journal.pone.000861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nortaxa.artsdatabanken.no/" TargetMode="External"/><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hyperlink" Target="https://doi.org/10.3390/plants9040432" TargetMode="External"/><Relationship Id="rId4" Type="http://schemas.openxmlformats.org/officeDocument/2006/relationships/webSettings" Target="webSettings.xml"/><Relationship Id="rId9" Type="http://schemas.openxmlformats.org/officeDocument/2006/relationships/hyperlink" Target="https://github.com/rdpstaff/RDPTool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cef3730-2131-4901-8310-55b3abf02c73}" enabled="0" method="" siteId="{6cef3730-2131-4901-8310-55b3abf02c73}"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1641</Words>
  <Characters>8703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Davey</dc:creator>
  <cp:keywords/>
  <dc:description/>
  <cp:lastModifiedBy>Marie Davey</cp:lastModifiedBy>
  <cp:revision>60</cp:revision>
  <dcterms:created xsi:type="dcterms:W3CDTF">2026-10-12T13:32:00Z</dcterms:created>
  <dcterms:modified xsi:type="dcterms:W3CDTF">2026-10-22T14:04:00Z</dcterms:modified>
</cp:coreProperties>
</file>