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Tagging Strategy Framework</w:t>
      </w:r>
    </w:p>
    <w:p>
      <w:r>
        <w:t>This document defines Clayco's enterprise tagging strategy across Azure, AWS, on-premises infrastructure, databases, CI/CD pipelines, and observability tooling. Tags provide the metadata backbone that enables cost allocation, security, compliance, incident routing, automation, and disaster recovery classification.</w:t>
      </w:r>
    </w:p>
    <w:p>
      <w:pPr>
        <w:pStyle w:val="Heading1"/>
      </w:pPr>
      <w:r>
        <w:t>1. Purpose &amp; Scope</w:t>
      </w:r>
    </w:p>
    <w:p>
      <w:r>
        <w:t>The purpose of this framework is to establish a consistent, provider-agnostic tagging standard that is applied to all taggable resources supporting Clayco workloads. This framework acts as a companion to the Cloud Governance Framework and should be considered authoritative for how metadata is modeled across platforms.</w:t>
      </w:r>
    </w:p>
    <w:p>
      <w:r>
        <w:t>In scope:</w:t>
      </w:r>
    </w:p>
    <w:p>
      <w:pPr>
        <w:numPr>
          <w:ilvl w:val="0"/>
          <w:numId w:val="1"/>
        </w:numPr>
        <w:spacing w:after="0" w:line="240" w:lineRule="auto"/>
      </w:pPr>
      <w:r>
        <w:t>Azure resources (subscriptions, management groups, resource groups, PaaS and IaaS services, AKS).</w:t>
      </w:r>
    </w:p>
    <w:p>
      <w:pPr>
        <w:numPr>
          <w:ilvl w:val="0"/>
          <w:numId w:val="1"/>
        </w:numPr>
        <w:spacing w:after="0" w:line="240" w:lineRule="auto"/>
      </w:pPr>
      <w:r>
        <w:t>AWS resources (organizations, accounts, PaaS and IaaS services, EKS).</w:t>
      </w:r>
    </w:p>
    <w:p>
      <w:pPr>
        <w:numPr>
          <w:ilvl w:val="0"/>
          <w:numId w:val="1"/>
        </w:numPr>
        <w:spacing w:after="0" w:line="240" w:lineRule="auto"/>
      </w:pPr>
      <w:r>
        <w:t>On-premises resources (virtual machines, physical servers, and networking equipment).</w:t>
      </w:r>
    </w:p>
    <w:p>
      <w:pPr>
        <w:numPr>
          <w:ilvl w:val="0"/>
          <w:numId w:val="1"/>
        </w:numPr>
        <w:spacing w:after="0" w:line="240" w:lineRule="auto"/>
      </w:pPr>
      <w:r>
        <w:t>Databases (SQL Server, Snowflake, managed database services, data platforms).</w:t>
      </w:r>
    </w:p>
    <w:p>
      <w:pPr>
        <w:numPr>
          <w:ilvl w:val="0"/>
          <w:numId w:val="1"/>
        </w:numPr>
        <w:spacing w:after="0" w:line="240" w:lineRule="auto"/>
      </w:pPr>
      <w:r>
        <w:t>CI/CD platforms (GitHub Actions, Terraform Cloud).</w:t>
      </w:r>
    </w:p>
    <w:p>
      <w:pPr>
        <w:numPr>
          <w:ilvl w:val="0"/>
          <w:numId w:val="1"/>
        </w:numPr>
        <w:spacing w:after="0" w:line="240" w:lineRule="auto"/>
      </w:pPr>
      <w:r>
        <w:t>Observability tooling (e.g., Datadog), consuming tags from providers, where possible, rather than defining its own independent taxonomy.</w:t>
      </w:r>
    </w:p>
    <w:p>
      <w:r>
        <w:t>This framework does not attempt to define a full CMDB model. Existing CMDB platforms may consume these tags as a downstream enrichment source, but the tagging strategy is not dependent on CMDB quality or adoption.</w:t>
      </w:r>
    </w:p>
    <w:p>
      <w:pPr>
        <w:pStyle w:val="Heading1"/>
      </w:pPr>
      <w:r>
        <w:t>2. Tagging Philosophy</w:t>
      </w:r>
    </w:p>
    <w:p>
      <w:pPr>
        <w:pStyle w:val="Heading2"/>
      </w:pPr>
      <w:r>
        <w:t>2.1 Objectives</w:t>
      </w:r>
    </w:p>
    <w:p>
      <w:pPr>
        <w:numPr>
          <w:ilvl w:val="0"/>
          <w:numId w:val="1"/>
        </w:numPr>
        <w:spacing w:after="0" w:line="240" w:lineRule="auto"/>
      </w:pPr>
      <w:r>
        <w:t>Enable precise cost allocation and showback/chargeback across services, teams, and cost centers.</w:t>
      </w:r>
    </w:p>
    <w:p>
      <w:pPr>
        <w:numPr>
          <w:ilvl w:val="0"/>
          <w:numId w:val="1"/>
        </w:numPr>
        <w:spacing w:after="0" w:line="240" w:lineRule="auto"/>
      </w:pPr>
      <w:r>
        <w:t>Make ownership obvious so that incidents, changes, and questions find the right team quickly.</w:t>
      </w:r>
    </w:p>
    <w:p>
      <w:pPr>
        <w:numPr>
          <w:ilvl w:val="0"/>
          <w:numId w:val="1"/>
        </w:numPr>
        <w:spacing w:after="0" w:line="240" w:lineRule="auto"/>
      </w:pPr>
      <w:r>
        <w:t>Provide an authoritative, queryable source of truth for environment, placement, and lifecycle state.</w:t>
      </w:r>
    </w:p>
    <w:p>
      <w:pPr>
        <w:numPr>
          <w:ilvl w:val="0"/>
          <w:numId w:val="1"/>
        </w:numPr>
        <w:spacing w:after="0" w:line="240" w:lineRule="auto"/>
      </w:pPr>
      <w:r>
        <w:t>Express backup and availability expectations in a machine-readable way.</w:t>
      </w:r>
    </w:p>
    <w:p>
      <w:pPr>
        <w:numPr>
          <w:ilvl w:val="0"/>
          <w:numId w:val="1"/>
        </w:numPr>
        <w:spacing w:after="0" w:line="240" w:lineRule="auto"/>
      </w:pPr>
      <w:r>
        <w:t>Drive automation in CI/CD pipelines, infrastructure provisioning, and configuration management.</w:t>
      </w:r>
    </w:p>
    <w:p>
      <w:pPr>
        <w:numPr>
          <w:ilvl w:val="0"/>
          <w:numId w:val="1"/>
        </w:numPr>
        <w:spacing w:after="0" w:line="240" w:lineRule="auto"/>
      </w:pPr>
      <w:r>
        <w:t>Support drift detection by expressing the intended state of resources via tags.</w:t>
      </w:r>
    </w:p>
    <w:p>
      <w:pPr>
        <w:numPr>
          <w:ilvl w:val="0"/>
          <w:numId w:val="1"/>
        </w:numPr>
        <w:spacing w:after="0" w:line="240" w:lineRule="auto"/>
      </w:pPr>
      <w:r>
        <w:t>Ensure observability tooling can group, filter, and route alerts using consistent tags.</w:t>
      </w:r>
    </w:p>
    <w:p>
      <w:pPr>
        <w:pStyle w:val="Heading2"/>
      </w:pPr>
      <w:r>
        <w:t>2.2 Personas &amp; Use Cases</w:t>
      </w:r>
    </w:p>
    <w:p>
      <w:r>
        <w:t>This strategy is designed to support multiple personas who depend on tags for their day-to-day work:</w:t>
      </w:r>
    </w:p>
    <w:p>
      <w:pPr>
        <w:numPr>
          <w:ilvl w:val="0"/>
          <w:numId w:val="1"/>
        </w:numPr>
        <w:spacing w:after="0" w:line="240" w:lineRule="auto"/>
      </w:pPr>
      <w:r>
        <w:t>Cloud Engineering: uses tags to enforce policy, standardize deployments, and govern shared services.</w:t>
      </w:r>
    </w:p>
    <w:p>
      <w:pPr>
        <w:numPr>
          <w:ilvl w:val="0"/>
          <w:numId w:val="1"/>
        </w:numPr>
        <w:spacing w:after="0" w:line="240" w:lineRule="auto"/>
      </w:pPr>
      <w:r>
        <w:t>Platform Engineering: uses tags to enable self-service capabilities, automation and standardization, golden paths, observability and feedback, and user-centric interfaces.</w:t>
      </w:r>
    </w:p>
    <w:p>
      <w:pPr>
        <w:numPr>
          <w:ilvl w:val="0"/>
          <w:numId w:val="1"/>
        </w:numPr>
        <w:spacing w:after="0" w:line="240" w:lineRule="auto"/>
      </w:pPr>
      <w:r>
        <w:t>Application Engineering Teams: use tags to express service boundaries, environments, and deployment slices.</w:t>
      </w:r>
    </w:p>
    <w:p>
      <w:pPr>
        <w:numPr>
          <w:ilvl w:val="0"/>
          <w:numId w:val="1"/>
        </w:numPr>
        <w:spacing w:after="0" w:line="240" w:lineRule="auto"/>
      </w:pPr>
      <w:r>
        <w:t>Database Administrators and Data Platform Teams: apply tags to express workload type, backup expectations, and availability requirements.</w:t>
      </w:r>
    </w:p>
    <w:p>
      <w:pPr>
        <w:numPr>
          <w:ilvl w:val="0"/>
          <w:numId w:val="1"/>
        </w:numPr>
        <w:spacing w:after="0" w:line="240" w:lineRule="auto"/>
      </w:pPr>
      <w:r>
        <w:t>Incident Response / On-call / SRE: use tags to route alerts, identify owners, and correlate incidents across components.</w:t>
      </w:r>
    </w:p>
    <w:p>
      <w:pPr>
        <w:pStyle w:val="Heading2"/>
      </w:pPr>
      <w:r>
        <w:t>2.3 Governance and Enforcement Model</w:t>
      </w:r>
    </w:p>
    <w:p>
      <w:r>
        <w:t>Clayco adopts a moderate enforcement model:</w:t>
      </w:r>
    </w:p>
    <w:p>
      <w:pPr>
        <w:numPr>
          <w:ilvl w:val="0"/>
          <w:numId w:val="1"/>
        </w:numPr>
        <w:spacing w:after="0" w:line="240" w:lineRule="auto"/>
      </w:pPr>
      <w:r>
        <w:t>Required global tags are mandatory on all taggable resources within scope.</w:t>
      </w:r>
    </w:p>
    <w:p>
      <w:pPr>
        <w:numPr>
          <w:ilvl w:val="0"/>
          <w:numId w:val="1"/>
        </w:numPr>
        <w:spacing w:after="0" w:line="240" w:lineRule="auto"/>
      </w:pPr>
      <w:r>
        <w:t>Enforcement is implemented where feasible via Azure Policy, AWS tag policies/SCPs, and policy-as-code in Terraform Cloud.</w:t>
      </w:r>
    </w:p>
    <w:p>
      <w:pPr>
        <w:numPr>
          <w:ilvl w:val="0"/>
          <w:numId w:val="1"/>
        </w:numPr>
        <w:spacing w:after="0" w:line="240" w:lineRule="auto"/>
      </w:pPr>
      <w:r>
        <w:t>A central tag registry defines allowed values and patterns for required tags.</w:t>
      </w:r>
    </w:p>
    <w:p>
      <w:pPr>
        <w:numPr>
          <w:ilvl w:val="0"/>
          <w:numId w:val="1"/>
        </w:numPr>
        <w:spacing w:after="0" w:line="240" w:lineRule="auto"/>
      </w:pPr>
      <w:r>
        <w:t>Engineering teams are expected to remediate non-compliant resources as part of normal operational work.</w:t>
      </w:r>
    </w:p>
    <w:p>
      <w:pPr>
        <w:pStyle w:val="Heading2"/>
      </w:pPr>
      <w:r>
        <w:t>2.4 Scoped Uniformity Contracts</w:t>
      </w:r>
    </w:p>
    <w:p>
      <w:r>
        <w:t>Clayco recognizes that some scopes (subscriptions, accounts, environments) are architecturally uniform. A Scoped Uniformity Contract allows all required global tags to be applied at the highest logical boundary when - and only when - that scope is uniform.</w:t>
      </w:r>
    </w:p>
    <w:p>
      <w:r>
        <w:t>A scope is considered uniform if all resources share:</w:t>
      </w:r>
    </w:p>
    <w:p>
      <w:pPr>
        <w:numPr>
          <w:ilvl w:val="0"/>
          <w:numId w:val="1"/>
        </w:numPr>
        <w:spacing w:after="0" w:line="240" w:lineRule="auto"/>
      </w:pPr>
      <w:r>
        <w:t>A single service</w:t>
      </w:r>
    </w:p>
    <w:p>
      <w:pPr>
        <w:numPr>
          <w:ilvl w:val="0"/>
          <w:numId w:val="1"/>
        </w:numPr>
        <w:spacing w:after="0" w:line="240" w:lineRule="auto"/>
      </w:pPr>
      <w:r>
        <w:t>A single owning team</w:t>
      </w:r>
    </w:p>
    <w:p>
      <w:pPr>
        <w:numPr>
          <w:ilvl w:val="0"/>
          <w:numId w:val="1"/>
        </w:numPr>
        <w:spacing w:after="0" w:line="240" w:lineRule="auto"/>
      </w:pPr>
      <w:r>
        <w:t>A single environment (env)</w:t>
      </w:r>
    </w:p>
    <w:p>
      <w:pPr>
        <w:numPr>
          <w:ilvl w:val="0"/>
          <w:numId w:val="1"/>
        </w:numPr>
        <w:spacing w:after="0" w:line="240" w:lineRule="auto"/>
      </w:pPr>
      <w:r>
        <w:t>A single cost-center</w:t>
      </w:r>
    </w:p>
    <w:p>
      <w:r>
        <w:t>Scoped uniformity is not a maturity phase or temporary exception. It is a structural contract tied to workload architecture. All required global tags remain mandatory regardless of tagging level.</w:t>
      </w:r>
    </w:p>
    <w:p>
      <w:pPr>
        <w:pStyle w:val="Heading2"/>
      </w:pPr>
      <w:r>
        <w:t>2.5 Roles and Responsibilities</w:t>
      </w:r>
    </w:p>
    <w:p>
      <w:pPr>
        <w:numPr>
          <w:ilvl w:val="0"/>
          <w:numId w:val="1"/>
        </w:numPr>
        <w:spacing w:after="0" w:line="240" w:lineRule="auto"/>
      </w:pPr>
      <w:r>
        <w:t>Enterprise Architecture: owns the tagging framework, defines global tags, and approves changes to the registry.</w:t>
      </w:r>
    </w:p>
    <w:p>
      <w:pPr>
        <w:numPr>
          <w:ilvl w:val="0"/>
          <w:numId w:val="1"/>
        </w:numPr>
        <w:spacing w:after="0" w:line="240" w:lineRule="auto"/>
      </w:pPr>
      <w:r>
        <w:t>Cloud Engineering: implements enforcement via policies</w:t>
      </w:r>
    </w:p>
    <w:p>
      <w:pPr>
        <w:numPr>
          <w:ilvl w:val="0"/>
          <w:numId w:val="1"/>
        </w:numPr>
        <w:spacing w:after="0" w:line="240" w:lineRule="auto"/>
      </w:pPr>
      <w:r>
        <w:t>Platform Engineering: implements tagging enablement via CI/CD integrations and provides tooling support.</w:t>
      </w:r>
    </w:p>
    <w:p>
      <w:pPr>
        <w:numPr>
          <w:ilvl w:val="0"/>
          <w:numId w:val="1"/>
        </w:numPr>
        <w:spacing w:after="0" w:line="240" w:lineRule="auto"/>
      </w:pPr>
      <w:r>
        <w:t>Application Teams: ensure resources they own comply with required tagging.</w:t>
      </w:r>
    </w:p>
    <w:p>
      <w:pPr>
        <w:numPr>
          <w:ilvl w:val="0"/>
          <w:numId w:val="1"/>
        </w:numPr>
        <w:spacing w:after="0" w:line="240" w:lineRule="auto"/>
      </w:pPr>
      <w:r>
        <w:t>FinOps / Finance Partners: define cost-center structures and validate that required cost tags are maintained at high coverage.</w:t>
      </w:r>
    </w:p>
    <w:p>
      <w:pPr>
        <w:pStyle w:val="Heading1"/>
      </w:pPr>
      <w:r>
        <w:t>3. General Tag Conventions</w:t>
      </w:r>
    </w:p>
    <w:p>
      <w:pPr>
        <w:pStyle w:val="Heading2"/>
      </w:pPr>
      <w:r>
        <w:t>3.1 Formatting Rules</w:t>
      </w:r>
    </w:p>
    <w:p>
      <w:r>
        <w:t>To ensure consistency across tools and providers, Clayco uses the following formatting rules for all tags:</w:t>
      </w:r>
    </w:p>
    <w:p>
      <w:pPr>
        <w:numPr>
          <w:ilvl w:val="0"/>
          <w:numId w:val="1"/>
        </w:numPr>
        <w:spacing w:after="0" w:line="240" w:lineRule="auto"/>
      </w:pPr>
      <w:r>
        <w:t>All tag keys and values MUST be lowercase.</w:t>
      </w:r>
    </w:p>
    <w:p>
      <w:pPr>
        <w:numPr>
          <w:ilvl w:val="0"/>
          <w:numId w:val="1"/>
        </w:numPr>
        <w:spacing w:after="0" w:line="240" w:lineRule="auto"/>
      </w:pPr>
      <w:r>
        <w:t>Hyphen (-) is the only allowed separator in tag keys and values (no spaces, underscores, camelCase, or PascalCase).</w:t>
      </w:r>
    </w:p>
    <w:p>
      <w:pPr>
        <w:numPr>
          <w:ilvl w:val="0"/>
          <w:numId w:val="1"/>
        </w:numPr>
        <w:spacing w:after="0" w:line="240" w:lineRule="auto"/>
      </w:pPr>
      <w:r>
        <w:t>Tag keys should be short but descriptive (e.g., 'cost-center', 'availability-tier', 'backup-tier').</w:t>
      </w:r>
    </w:p>
    <w:p>
      <w:pPr>
        <w:numPr>
          <w:ilvl w:val="0"/>
          <w:numId w:val="1"/>
        </w:numPr>
        <w:spacing w:after="0" w:line="240" w:lineRule="auto"/>
      </w:pPr>
      <w:r>
        <w:t>Tag values should be stable identifiers (e.g., 'prod', 'internal', 'tier-1'), not free-form sentences.</w:t>
      </w:r>
    </w:p>
    <w:p>
      <w:pPr>
        <w:numPr>
          <w:ilvl w:val="0"/>
          <w:numId w:val="1"/>
        </w:numPr>
        <w:spacing w:after="0" w:line="240" w:lineRule="auto"/>
      </w:pPr>
      <w:r>
        <w:t>Avoid personally identifiable information (PII) and secrets in tag keys or values.</w:t>
      </w:r>
    </w:p>
    <w:p>
      <w:pPr>
        <w:numPr>
          <w:ilvl w:val="0"/>
          <w:numId w:val="1"/>
        </w:numPr>
        <w:spacing w:after="0" w:line="240" w:lineRule="auto"/>
      </w:pPr>
      <w:r>
        <w:t>Avoid dynamically generated, unique-per-resource values for required tags (to control cardinality).</w:t>
      </w:r>
    </w:p>
    <w:p>
      <w:pPr>
        <w:pStyle w:val="Heading2"/>
      </w:pPr>
      <w:r>
        <w:t>3.2 Semantic Guidelines</w:t>
      </w:r>
    </w:p>
    <w:p>
      <w:pPr>
        <w:numPr>
          <w:ilvl w:val="0"/>
          <w:numId w:val="1"/>
        </w:numPr>
        <w:spacing w:after="0" w:line="240" w:lineRule="auto"/>
      </w:pPr>
      <w:r>
        <w:t>Tag keys are global concepts and SHOULD NOT vary by provider.</w:t>
      </w:r>
    </w:p>
    <w:p>
      <w:pPr>
        <w:numPr>
          <w:ilvl w:val="0"/>
          <w:numId w:val="1"/>
        </w:numPr>
        <w:spacing w:after="0" w:line="240" w:lineRule="auto"/>
      </w:pPr>
      <w:r>
        <w:t>Tag values SHOULD be chosen from centrally defined lists or documented patterns wherever possible.</w:t>
      </w:r>
    </w:p>
    <w:p>
      <w:pPr>
        <w:numPr>
          <w:ilvl w:val="0"/>
          <w:numId w:val="1"/>
        </w:numPr>
        <w:spacing w:after="0" w:line="240" w:lineRule="auto"/>
      </w:pPr>
      <w:r>
        <w:t>If a new use case appears to require a new tag key, teams MUST first consult the registry to avoid duplication.</w:t>
      </w:r>
    </w:p>
    <w:p>
      <w:pPr>
        <w:numPr>
          <w:ilvl w:val="0"/>
          <w:numId w:val="1"/>
        </w:numPr>
        <w:spacing w:after="0" w:line="240" w:lineRule="auto"/>
      </w:pPr>
      <w:r>
        <w:t>If a new value is required for an existing tag, it MUST be added to the central registry before widespread use.</w:t>
      </w:r>
    </w:p>
    <w:p>
      <w:pPr>
        <w:pStyle w:val="Heading2"/>
      </w:pPr>
      <w:r>
        <w:t>3.3 Provider Differences</w:t>
      </w:r>
    </w:p>
    <w:p>
      <w:r>
        <w:t>Azure and AWS differ slightly in their tagging implementations (limits, supported resources, and enforcement tools). The following guidelines apply:</w:t>
      </w:r>
    </w:p>
    <w:p>
      <w:pPr>
        <w:numPr>
          <w:ilvl w:val="0"/>
          <w:numId w:val="1"/>
        </w:numPr>
        <w:spacing w:after="0" w:line="240" w:lineRule="auto"/>
      </w:pPr>
      <w:r>
        <w:t>Always stay within the provider-documented limits for tag key and value length, and maximum tags per resource.</w:t>
      </w:r>
    </w:p>
    <w:p>
      <w:pPr>
        <w:numPr>
          <w:ilvl w:val="0"/>
          <w:numId w:val="1"/>
        </w:numPr>
        <w:spacing w:after="0" w:line="240" w:lineRule="auto"/>
      </w:pPr>
      <w:r>
        <w:t>Where a resource type does not support tags, equivalent metadata must be captured at the closest higher-level resource (e.g., resource group, account, subscription).</w:t>
      </w:r>
    </w:p>
    <w:p>
      <w:pPr>
        <w:numPr>
          <w:ilvl w:val="0"/>
          <w:numId w:val="1"/>
        </w:numPr>
        <w:spacing w:after="0" w:line="240" w:lineRule="auto"/>
      </w:pPr>
      <w:r>
        <w:t>Do not rely on provider-specific tag keys such as 'aws:*' or 'azure:*' for business logic; instead, use Clayco-standard tags.</w:t>
      </w:r>
    </w:p>
    <w:p>
      <w:pPr>
        <w:pStyle w:val="Heading2"/>
      </w:pPr>
      <w:r>
        <w:t>3.4 Inheritance and Overrides</w:t>
      </w:r>
    </w:p>
    <w:p>
      <w:r>
        <w:t>Tag inheritance is a key mechanism for reducing operational overhead and ensuring consistency:</w:t>
      </w:r>
    </w:p>
    <w:p>
      <w:pPr>
        <w:numPr>
          <w:ilvl w:val="0"/>
          <w:numId w:val="1"/>
        </w:numPr>
        <w:spacing w:after="0" w:line="240" w:lineRule="auto"/>
      </w:pPr>
      <w:r>
        <w:t>Apply required global tags at the highest level at which their semantics are accurate (e.g., subscription, account, resource group). When applying required tags at subscription or account scope, the scope MUST satisfy the conditions of a Scoped Uniformity Contract (Section 2.4).</w:t>
      </w:r>
    </w:p>
    <w:p>
      <w:pPr>
        <w:numPr>
          <w:ilvl w:val="0"/>
          <w:numId w:val="1"/>
        </w:numPr>
        <w:spacing w:after="0" w:line="240" w:lineRule="auto"/>
      </w:pPr>
      <w:r>
        <w:t>Resource groups and equivalent logical containers should inherit tags from their parent and may add more specific tags.</w:t>
      </w:r>
    </w:p>
    <w:p>
      <w:pPr>
        <w:numPr>
          <w:ilvl w:val="0"/>
          <w:numId w:val="1"/>
        </w:numPr>
        <w:spacing w:after="0" w:line="240" w:lineRule="auto"/>
      </w:pPr>
      <w:r>
        <w:t>Individual resources inherit tags from their parent scope. Overriding a tag at the resource level is allowed when the resource's semantics genuinely differ.</w:t>
      </w:r>
    </w:p>
    <w:p>
      <w:pPr>
        <w:numPr>
          <w:ilvl w:val="0"/>
          <w:numId w:val="1"/>
        </w:numPr>
        <w:spacing w:after="0" w:line="240" w:lineRule="auto"/>
      </w:pPr>
      <w:r>
        <w:t>Avoid copying tags manually to each resource when inheritance achieves the same outcome; this reduces drift and simplifies changes.</w:t>
      </w:r>
    </w:p>
    <w:p>
      <w:pPr>
        <w:numPr>
          <w:ilvl w:val="0"/>
          <w:numId w:val="1"/>
        </w:numPr>
        <w:spacing w:after="0" w:line="240" w:lineRule="auto"/>
      </w:pPr>
      <w:r>
        <w:t>When a scoped uniformity contract is invalidated (e.g., multiple services, mixed compliance requirements, or multiple cost-centers), required tags MUST move down to the next semantically correct level (resource group, module, or resource).</w:t>
      </w:r>
    </w:p>
    <w:p>
      <w:pPr>
        <w:pStyle w:val="Heading2"/>
      </w:pPr>
      <w:r>
        <w:t>3.5 Tag Value Models and Contextual Discriminators</w:t>
      </w:r>
    </w:p>
    <w:p>
      <w:r>
        <w:t>A tagging standard requires both (a) consistent value formats and (b) correct values for the context in which a resource runs.</w:t>
      </w:r>
    </w:p>
    <w:p>
      <w:r>
        <w:t>Tag value models define how a tag value is validated for a given tag key: Enum is a fixed list of allowed values (e.g., env, provider, availability-tier). Pattern means allowed values must match a defined pattern (e.g., cc-[0-9]{4} for cost-center). Curated free form means values are human-readable but must come from a curated catalog/registry (e.g., service slugs, team slugs).</w:t>
      </w:r>
    </w:p>
    <w:p>
      <w:r>
        <w:t>In addition, Clayco uses contextual discriminators to express conditional validation rules. A contextual discriminator is a tag key whose value determines the allowed value set or pattern for another tag key. Contextual discriminators enable provider- and platform-aware validation without creating provider-specific tag keys.</w:t>
      </w:r>
    </w:p>
    <w:p>
      <w:r>
        <w:t>An example, where the provider tag is a contextual discriminator for location: if provider=aws, 'location' must be a valid AWS region code (e.g., us-east-1, us-east-2). If provider=azure, 'location' must be a valid Azure region code (e.g., northcentralus, centralus). If provider=onprem, 'location' must match the approved on-prem datacenter naming convention (e.g., chi-dc-1).</w:t>
      </w:r>
    </w:p>
    <w:p>
      <w:r>
        <w:t>The Tag Registry Specification defines, for each tag key, its value model (enum / pattern / curated free form), and any contextual discriminator relationships and the corresponding allowed values or patterns per context.</w:t>
      </w:r>
    </w:p>
    <w:p>
      <w:pPr>
        <w:pStyle w:val="Heading1"/>
      </w:pPr>
      <w:r>
        <w:t>4. Required Global Tags</w:t>
      </w:r>
    </w:p>
    <w:p>
      <w:r>
        <w:t>Required global tags are mandatory on all in-scope, taggable resources. They provide the metadata backbone for cost allocation, ownership, security, and operational management.</w:t>
      </w:r>
    </w:p>
    <w:p>
      <w:pPr>
        <w:pStyle w:val="Heading2"/>
      </w:pPr>
      <w:r>
        <w:t>4.1 Identity and Ownership</w:t>
      </w:r>
    </w:p>
    <w:p>
      <w:pPr>
        <w:pStyle w:val="Heading4"/>
      </w:pPr>
      <w:r>
        <w:t>service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which application or service a resource belongs to. Used to group related resources for cost tracking, monitoring, and ownership.</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Curated free-form (registry of service slugs)</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None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resources owned by a service, including cloud resources, on-prem vms, and databases.</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service=headshot-api</w:t>
            </w:r>
          </w:p>
        </w:tc>
      </w:tr>
    </w:tbl>
    <w:p>
      <w:pPr>
        <w:pStyle w:val="Heading4"/>
      </w:pPr>
      <w:r>
        <w:t>team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which engineering team owns and operates a resource. Used to route incidents and escalations to the right people.</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Curated free-form (registry of team slugs)</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None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resources associated with a team-owned service.</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team=cloud-engineering, team=infrastructure-services, team=network-engineering</w:t>
            </w:r>
          </w:p>
        </w:tc>
      </w:tr>
    </w:tbl>
    <w:p>
      <w:pPr>
        <w:pStyle w:val="Heading4"/>
      </w:pPr>
      <w:r>
        <w:t>business-owner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which business unit is responsible for a resource. This is the go-to contact for business decisions about its budget, health, and lifecycle.</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Curated free-form (registry of team slugs)</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None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resources supporting production or business-critical workloads.</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business-owner=csi, business-owner=vdc, business-owner=clayco</w:t>
            </w:r>
          </w:p>
        </w:tc>
      </w:tr>
    </w:tbl>
    <w:p>
      <w:pPr>
        <w:pStyle w:val="Heading2"/>
      </w:pPr>
      <w:r>
        <w:t>4.2 Placement and Environment</w:t>
      </w:r>
    </w:p>
    <w:p>
      <w:pPr>
        <w:pStyle w:val="Heading4"/>
      </w:pPr>
      <w:r>
        <w:t>provider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which cloud or infrastructure provider hosts a resource. See the allowed values for the full list of supported providers.</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Enum</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None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in-scope resources.</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provider=aws, provider=onprem, provider=azure</w:t>
            </w:r>
          </w:p>
        </w:tc>
      </w:tr>
    </w:tbl>
    <w:p>
      <w:pPr>
        <w:pStyle w:val="Heading4"/>
      </w:pPr>
      <w:r>
        <w:t>platform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what technology a resource runs on. The allowed values are determined by the resource's provider tag.</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Enum</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provider</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in-scope resources.</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platform=vmware, platform=azure-vm, platform=ec2</w:t>
            </w:r>
          </w:p>
        </w:tc>
      </w:tr>
    </w:tbl>
    <w:p>
      <w:pPr>
        <w:pStyle w:val="Heading4"/>
      </w:pPr>
      <w:r>
        <w:t>location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where a resource physically lives. The allowed values are determined by the resource's provider tag.</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Pattern (provider region or datacenter code)</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provider</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resources where a location is meaningful.</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location=mo-stl-2199, location=il-chi-dtc, location=mo-stl-clayton</w:t>
            </w:r>
          </w:p>
        </w:tc>
      </w:tr>
    </w:tbl>
    <w:p>
      <w:pPr>
        <w:pStyle w:val="Heading4"/>
      </w:pPr>
      <w:r>
        <w:t>env</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which stage of the software lifecycle a resource belongs to (e.g., development, staging, production). Drives change-control rules and monitoring thresholds.</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Enum</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None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in-scope resources.</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env=dev, env=stage, env=test</w:t>
            </w:r>
          </w:p>
        </w:tc>
      </w:tr>
    </w:tbl>
    <w:p>
      <w:pPr>
        <w:pStyle w:val="Heading2"/>
      </w:pPr>
      <w:r>
        <w:t>4.3 Operations and Lifecycle</w:t>
      </w:r>
    </w:p>
    <w:p>
      <w:pPr>
        <w:pStyle w:val="Heading4"/>
      </w:pPr>
      <w:r>
        <w:t>workload-type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what kind of work a resource performs. Determines which backup, monitoring, and operational policies apply.</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Enum</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None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cloud and on-prem compute, storage, and database resources.</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workload-type=app, workload-type=api, workload-type=batch</w:t>
            </w:r>
          </w:p>
        </w:tc>
      </w:tr>
    </w:tbl>
    <w:p>
      <w:pPr>
        <w:pStyle w:val="Heading4"/>
      </w:pPr>
      <w:r>
        <w:t>cost-center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which budget pays for a resource. The value is the business unit number from the accounting system (e.g., 11300).</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Pattern (BU number as-is from accounting system)</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None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resources that incur cost.</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cost-center=1, cost-center=4, cost-center=21</w:t>
            </w:r>
          </w:p>
        </w:tc>
      </w:tr>
    </w:tbl>
    <w:p>
      <w:pPr>
        <w:pStyle w:val="Heading2"/>
      </w:pPr>
      <w:r>
        <w:t>4.4 Resilience and Disaster Recovery</w:t>
      </w:r>
    </w:p>
    <w:p>
      <w:pPr>
        <w:pStyle w:val="Heading4"/>
      </w:pPr>
      <w:r>
        <w:t>criticality-tier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how critical a resource is to the business. Determines uptime targets, recovery requirements, and how the resource must be built and maintained.</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Enum</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None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for production resources; optional for lower environments.</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criticality-tier=mission-critical, criticality-tier=business-critical, criticality-tier=business-impacting</w:t>
            </w:r>
          </w:p>
        </w:tc>
      </w:tr>
    </w:tbl>
    <w:p>
      <w:pPr>
        <w:pStyle w:val="Heading4"/>
      </w:pPr>
      <w:r>
        <w:t>backup-tier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bottom w:w="30" w:type="dxa"/>
          <w:left w:w="80" w:type="dxa"/>
          <w:right w:w="80" w:type="dxa"/>
        </w:tblCellMar>
      </w:tblPr>
      <w:tblGrid>
        <w:gridCol w:w="2500"/>
        <w:gridCol w:w="6860"/>
      </w:tblGrid>
      <w:tr>
        <w:tc>
          <w:tcPr>
            <w:tcW w:w="2500" w:type="dxa"/>
            <w:shd w:val="clear" w:color="auto" w:fill="D9E1F2"/>
          </w:tcPr>
          <w:p>
            <w:pPr>
              <w:spacing w:after="0" w:line="240" w:lineRule="auto"/>
            </w:pPr>
            <w:r>
              <w:rPr>
                <w:b/>
              </w:rPr>
              <w:t>Purpose</w:t>
            </w:r>
          </w:p>
        </w:tc>
        <w:tc>
          <w:tcPr>
            <w:tcW w:w="6860" w:type="dxa"/>
          </w:tcPr>
          <w:p>
            <w:pPr>
              <w:spacing w:after="0" w:line="240" w:lineRule="auto"/>
            </w:pPr>
            <w:r>
              <w:t xml:space="preserve">Identifies the backup protection level for a resource, expressed as a numeric tier aligned with the organization's Business Impact Analysis (BIA) criticality numbering. 0 is the most protective (highest frequency, longest retention, cross-region replication) and higher numbers represent progressively looser backup policies. The number of tiers varies by workload-type — not all workloads require the same granularity.</w:t>
            </w:r>
          </w:p>
        </w:tc>
      </w:tr>
      <w:tr>
        <w:tc>
          <w:tcPr>
            <w:tcW w:w="2500" w:type="dxa"/>
            <w:shd w:val="clear" w:color="auto" w:fill="D9E1F2"/>
          </w:tcPr>
          <w:p>
            <w:pPr>
              <w:spacing w:after="0" w:line="240" w:lineRule="auto"/>
            </w:pPr>
            <w:r>
              <w:rPr>
                <w:b/>
              </w:rPr>
              <w:t>Value Model</w:t>
            </w:r>
          </w:p>
        </w:tc>
        <w:tc>
          <w:tcPr>
            <w:tcW w:w="6860" w:type="dxa"/>
          </w:tcPr>
          <w:p>
            <w:pPr>
              <w:spacing w:after="0" w:line="240" w:lineRule="auto"/>
            </w:pPr>
            <w:r>
              <w:t xml:space="preserve">Numeric (integer, 0-indexed, BIA-aligned)</w:t>
            </w:r>
          </w:p>
        </w:tc>
      </w:tr>
      <w:tr>
        <w:tc>
          <w:tcPr>
            <w:tcW w:w="2500" w:type="dxa"/>
            <w:shd w:val="clear" w:color="auto" w:fill="D9E1F2"/>
          </w:tcPr>
          <w:p>
            <w:pPr>
              <w:spacing w:after="0" w:line="240" w:lineRule="auto"/>
            </w:pPr>
            <w:r>
              <w:rPr>
                <w:b/>
              </w:rPr>
              <w:t>Discriminator</w:t>
            </w:r>
          </w:p>
        </w:tc>
        <w:tc>
          <w:tcPr>
            <w:tcW w:w="6860" w:type="dxa"/>
          </w:tcPr>
          <w:p>
            <w:pPr>
              <w:spacing w:after="0" w:line="240" w:lineRule="auto"/>
            </w:pPr>
            <w:r>
              <w:t xml:space="preserve">workload-type</w:t>
            </w:r>
          </w:p>
        </w:tc>
      </w:tr>
      <w:tr>
        <w:tc>
          <w:tcPr>
            <w:tcW w:w="2500" w:type="dxa"/>
            <w:shd w:val="clear" w:color="auto" w:fill="D9E1F2"/>
          </w:tcPr>
          <w:p>
            <w:pPr>
              <w:spacing w:after="0" w:line="240" w:lineRule="auto"/>
            </w:pPr>
            <w:r>
              <w:rPr>
                <w:b/>
              </w:rPr>
              <w:t>Scope</w:t>
            </w:r>
          </w:p>
        </w:tc>
        <w:tc>
          <w:tcPr>
            <w:tcW w:w="6860" w:type="dxa"/>
          </w:tcPr>
          <w:p>
            <w:pPr>
              <w:spacing w:after="0" w:line="240" w:lineRule="auto"/>
            </w:pPr>
            <w:r>
              <w:t xml:space="preserve">Required on all stateful resources (databases, storage, key repositories) and vms.</w:t>
            </w:r>
          </w:p>
        </w:tc>
      </w:tr>
      <w:tr>
        <w:tc>
          <w:tcPr>
            <w:tcW w:w="2500" w:type="dxa"/>
            <w:shd w:val="clear" w:color="auto" w:fill="D9E1F2"/>
          </w:tcPr>
          <w:p>
            <w:pPr>
              <w:spacing w:after="0" w:line="240" w:lineRule="auto"/>
            </w:pPr>
            <w:r>
              <w:rPr>
                <w:b/>
              </w:rPr>
              <w:t>Examples</w:t>
            </w:r>
          </w:p>
        </w:tc>
        <w:tc>
          <w:tcPr>
            <w:tcW w:w="6860" w:type="dxa"/>
          </w:tcPr>
          <w:p>
            <w:pPr>
              <w:spacing w:after="0" w:line="240" w:lineRule="auto"/>
            </w:pPr>
            <w:r>
              <w:t xml:space="preserve">backup-tier=0, backup-tier=1, backup-tier=2</w:t>
            </w:r>
          </w:p>
        </w:tc>
      </w:tr>
    </w:tbl>
    <w:p>
      <w:pPr>
        <w:pStyle w:val="Heading1"/>
      </w:pPr>
      <w:r>
        <w:t>5. Cardinality Considerations</w:t>
      </w:r>
    </w:p>
    <w:p>
      <w:r>
        <w:t>Cardinality is the number of distinct values a tag key has across a dataset. Observability tools often index tag values and charge based on the number of unique combinations, so careless use of tags can create unnecessary cost and degrade query performance.</w:t>
      </w:r>
    </w:p>
    <w:p>
      <w:r>
        <w:t>Clayco adopts the following practical definitions:</w:t>
      </w:r>
    </w:p>
    <w:p>
      <w:pPr>
        <w:numPr>
          <w:ilvl w:val="0"/>
          <w:numId w:val="1"/>
        </w:numPr>
        <w:spacing w:after="0" w:line="240" w:lineRule="auto"/>
      </w:pPr>
      <w:r>
        <w:t>Low-cardinality: tens to hundreds of values (e.g., env, availability-tier).</w:t>
      </w:r>
    </w:p>
    <w:p>
      <w:pPr>
        <w:numPr>
          <w:ilvl w:val="0"/>
          <w:numId w:val="1"/>
        </w:numPr>
        <w:spacing w:after="0" w:line="240" w:lineRule="auto"/>
      </w:pPr>
      <w:r>
        <w:t>Medium-cardinality: hundreds to thousands of values (e.g., service, team).</w:t>
      </w:r>
    </w:p>
    <w:p>
      <w:pPr>
        <w:numPr>
          <w:ilvl w:val="0"/>
          <w:numId w:val="1"/>
        </w:numPr>
        <w:spacing w:after="0" w:line="240" w:lineRule="auto"/>
      </w:pPr>
      <w:r>
        <w:t>High-cardinality: thousands to millions of values (e.g., request-id, container-id, user-id).</w:t>
      </w:r>
    </w:p>
    <w:p>
      <w:r>
        <w:t>Guidelines:</w:t>
      </w:r>
    </w:p>
    <w:p>
      <w:pPr>
        <w:numPr>
          <w:ilvl w:val="0"/>
          <w:numId w:val="1"/>
        </w:numPr>
        <w:spacing w:after="0" w:line="240" w:lineRule="auto"/>
      </w:pPr>
      <w:r>
        <w:t>All required tags must be low- or medium-cardinality.</w:t>
      </w:r>
    </w:p>
    <w:p>
      <w:pPr>
        <w:numPr>
          <w:ilvl w:val="0"/>
          <w:numId w:val="1"/>
        </w:numPr>
        <w:spacing w:after="0" w:line="240" w:lineRule="auto"/>
      </w:pPr>
      <w:r>
        <w:t>Avoid tagging with IDs that are unique per resource instance (e.g., VM GUIDs, container IDs) except in narrow troubleshooting contexts.</w:t>
      </w:r>
    </w:p>
    <w:p>
      <w:pPr>
        <w:numPr>
          <w:ilvl w:val="0"/>
          <w:numId w:val="1"/>
        </w:numPr>
        <w:spacing w:after="0" w:line="240" w:lineRule="auto"/>
      </w:pPr>
      <w:r>
        <w:t>Before introducing a new tag key, consider whether an existing key plus a new value would suffice.</w:t>
      </w:r>
    </w:p>
    <w:p>
      <w:pPr>
        <w:pStyle w:val="Heading1"/>
      </w:pPr>
      <w:r>
        <w:t>6. Tag Application Locations</w:t>
      </w:r>
    </w:p>
    <w:p>
      <w:pPr>
        <w:pStyle w:val="Heading2"/>
      </w:pPr>
      <w:r>
        <w:t>6.1 Azure</w:t>
      </w:r>
    </w:p>
    <w:p>
      <w:pPr>
        <w:numPr>
          <w:ilvl w:val="0"/>
          <w:numId w:val="1"/>
        </w:numPr>
        <w:spacing w:after="0" w:line="240" w:lineRule="auto"/>
      </w:pPr>
      <w:r>
        <w:t>Apply baseline required tags at the management group and subscription level when the scope is architecturally uniform as defined by Scoped Uniformity Contracts (Section 2.4). When uniformity is not present, apply required tags at the resource group level (or via infrastructure-as-code) so each service boundary has correct metadata.</w:t>
      </w:r>
    </w:p>
    <w:p>
      <w:pPr>
        <w:numPr>
          <w:ilvl w:val="0"/>
          <w:numId w:val="1"/>
        </w:numPr>
        <w:spacing w:after="0" w:line="240" w:lineRule="auto"/>
      </w:pPr>
      <w:r>
        <w:t>Use resource group-level tags to express workload-level metadata for groups of resources (service, env, team).</w:t>
      </w:r>
    </w:p>
    <w:p>
      <w:pPr>
        <w:numPr>
          <w:ilvl w:val="0"/>
          <w:numId w:val="1"/>
        </w:numPr>
        <w:spacing w:after="0" w:line="240" w:lineRule="auto"/>
      </w:pPr>
      <w:r>
        <w:t>Override tags on specific resources only when they differ from the resource group's semantics (e.g., shared services).</w:t>
      </w:r>
    </w:p>
    <w:p>
      <w:pPr>
        <w:numPr>
          <w:ilvl w:val="0"/>
          <w:numId w:val="1"/>
        </w:numPr>
        <w:spacing w:after="0" w:line="240" w:lineRule="auto"/>
      </w:pPr>
      <w:r>
        <w:t>Use Azure Policy to audit and enforce required tags on subscriptions, resource groups, and key resource types.</w:t>
      </w:r>
    </w:p>
    <w:p>
      <w:pPr>
        <w:pStyle w:val="Heading2"/>
      </w:pPr>
      <w:r>
        <w:t>6.2 AWS</w:t>
      </w:r>
    </w:p>
    <w:p>
      <w:pPr>
        <w:numPr>
          <w:ilvl w:val="0"/>
          <w:numId w:val="1"/>
        </w:numPr>
        <w:spacing w:after="0" w:line="240" w:lineRule="auto"/>
      </w:pPr>
      <w:r>
        <w:t>Use AWS Organizations and tag policies to enforce the presence and patterns of required tags.</w:t>
      </w:r>
    </w:p>
    <w:p>
      <w:pPr>
        <w:numPr>
          <w:ilvl w:val="0"/>
          <w:numId w:val="1"/>
        </w:numPr>
        <w:spacing w:after="0" w:line="240" w:lineRule="auto"/>
      </w:pPr>
      <w:r>
        <w:t>Apply required tags at the account or OU level when the account scope is architecturally uniform as defined by Scoped Uniformity Contracts (Section 2.4). When uniformity is not present, apply required tags through infrastructure-as-code modules and/or per-resource tagging to preserve accurate service, team, and cost-center dimensions.</w:t>
      </w:r>
    </w:p>
    <w:p>
      <w:pPr>
        <w:numPr>
          <w:ilvl w:val="0"/>
          <w:numId w:val="1"/>
        </w:numPr>
        <w:spacing w:after="0" w:line="240" w:lineRule="auto"/>
      </w:pPr>
      <w:r>
        <w:t>Be consistent about tagging foundational resources like VPCs, subnets, and security groups to enable network-centric reporting.</w:t>
      </w:r>
    </w:p>
    <w:p>
      <w:pPr>
        <w:pStyle w:val="Heading2"/>
      </w:pPr>
      <w:r>
        <w:t>6.3 On-Premises</w:t>
      </w:r>
    </w:p>
    <w:p>
      <w:pPr>
        <w:numPr>
          <w:ilvl w:val="0"/>
          <w:numId w:val="1"/>
        </w:numPr>
        <w:spacing w:after="0" w:line="240" w:lineRule="auto"/>
      </w:pPr>
      <w:r>
        <w:t>Apply required tags via virtualization platforms (e.g., vSphere tags, Kubernetes labels, etc.) and/or configuration management tools.</w:t>
      </w:r>
    </w:p>
    <w:p>
      <w:pPr>
        <w:numPr>
          <w:ilvl w:val="0"/>
          <w:numId w:val="1"/>
        </w:numPr>
        <w:spacing w:after="0" w:line="240" w:lineRule="auto"/>
      </w:pPr>
      <w:r>
        <w:t>Ensure backup-tier and availability-tier tags are present for all servers participating in critical workloads.</w:t>
      </w:r>
    </w:p>
    <w:p>
      <w:pPr>
        <w:numPr>
          <w:ilvl w:val="0"/>
          <w:numId w:val="1"/>
        </w:numPr>
        <w:spacing w:after="0" w:line="240" w:lineRule="auto"/>
      </w:pPr>
      <w:r>
        <w:t>Where tagging is not technically supported, attempt to tag via the observability platform or, as a last resort, maintain an equivalent mapping in inventory systems using the same keys and values.</w:t>
      </w:r>
    </w:p>
    <w:p>
      <w:pPr>
        <w:pStyle w:val="Heading2"/>
      </w:pPr>
      <w:r>
        <w:t>6.4 Databases</w:t>
      </w:r>
    </w:p>
    <w:p>
      <w:pPr>
        <w:numPr>
          <w:ilvl w:val="0"/>
          <w:numId w:val="1"/>
        </w:numPr>
        <w:spacing w:after="0" w:line="240" w:lineRule="auto"/>
      </w:pPr>
      <w:r>
        <w:t>Tag database servers and managed database instances with all required tags.</w:t>
      </w:r>
    </w:p>
    <w:p>
      <w:pPr>
        <w:numPr>
          <w:ilvl w:val="0"/>
          <w:numId w:val="1"/>
        </w:numPr>
        <w:spacing w:after="0" w:line="240" w:lineRule="auto"/>
      </w:pPr>
      <w:r>
        <w:t>Use 'workload-type=database' and appropriate backup-tier and availability-tier values.</w:t>
      </w:r>
    </w:p>
    <w:p>
      <w:pPr>
        <w:numPr>
          <w:ilvl w:val="0"/>
          <w:numId w:val="1"/>
        </w:numPr>
        <w:spacing w:after="0" w:line="240" w:lineRule="auto"/>
      </w:pPr>
      <w:r>
        <w:t>For platforms that support database-level tagging, ensure tags are consistent with the hosting resource.</w:t>
      </w:r>
    </w:p>
    <w:p>
      <w:pPr>
        <w:pStyle w:val="Heading2"/>
      </w:pPr>
      <w:r>
        <w:t>6.5 Pipelines and CI/CD</w:t>
      </w:r>
    </w:p>
    <w:p>
      <w:pPr>
        <w:numPr>
          <w:ilvl w:val="0"/>
          <w:numId w:val="1"/>
        </w:numPr>
        <w:spacing w:after="0" w:line="240" w:lineRule="auto"/>
      </w:pPr>
      <w:r>
        <w:t>CI/CD systems should inject required tags into infrastructure-as-code and deployment definitions.</w:t>
      </w:r>
    </w:p>
    <w:p>
      <w:pPr>
        <w:numPr>
          <w:ilvl w:val="0"/>
          <w:numId w:val="1"/>
        </w:numPr>
        <w:spacing w:after="0" w:line="240" w:lineRule="auto"/>
      </w:pPr>
      <w:r>
        <w:t>Pipeline jobs should avoid introducing new tag keys without updating the registry.</w:t>
      </w:r>
    </w:p>
    <w:p>
      <w:pPr>
        <w:pStyle w:val="Heading2"/>
      </w:pPr>
      <w:r>
        <w:t>6.6 Observability Tooling</w:t>
      </w:r>
    </w:p>
    <w:p>
      <w:pPr>
        <w:numPr>
          <w:ilvl w:val="0"/>
          <w:numId w:val="1"/>
        </w:numPr>
        <w:spacing w:after="0" w:line="240" w:lineRule="auto"/>
      </w:pPr>
      <w:r>
        <w:t>Observability platforms should primarily import tags from the underlying providers and workloads.</w:t>
      </w:r>
    </w:p>
    <w:p>
      <w:pPr>
        <w:numPr>
          <w:ilvl w:val="0"/>
          <w:numId w:val="1"/>
        </w:numPr>
        <w:spacing w:after="0" w:line="240" w:lineRule="auto"/>
      </w:pPr>
      <w:r>
        <w:t>Any tags defined directly within observability tools must still conform to the global tagging conventions and registry.</w:t>
      </w:r>
    </w:p>
    <w:p>
      <w:pPr>
        <w:numPr>
          <w:ilvl w:val="0"/>
          <w:numId w:val="1"/>
        </w:numPr>
        <w:spacing w:after="0" w:line="240" w:lineRule="auto"/>
      </w:pPr>
      <w:r>
        <w:t>Unified service tagging should map Clayco's 'service' and 'env' tags into the observability platform's conventions.</w:t>
      </w:r>
    </w:p>
    <w:p>
      <w:pPr>
        <w:pStyle w:val="Heading1"/>
      </w:pPr>
      <w:r>
        <w:t>7. Tagging for FinOps</w:t>
      </w:r>
    </w:p>
    <w:p>
      <w:r>
        <w:t>Effective cost management depends on high-quality, consistent tagging coverage. At a minimum, all chargeable resources must have 'service', 'env', 'team', 'cost-center', and 'provider' tags applied.</w:t>
      </w:r>
    </w:p>
    <w:p>
      <w:pPr>
        <w:numPr>
          <w:ilvl w:val="0"/>
          <w:numId w:val="1"/>
        </w:numPr>
        <w:spacing w:after="0" w:line="240" w:lineRule="auto"/>
      </w:pPr>
      <w:r>
        <w:t>Aim for at least 95% of monthly cloud spend to be associated with fully tagged resources.</w:t>
      </w:r>
    </w:p>
    <w:p>
      <w:pPr>
        <w:numPr>
          <w:ilvl w:val="0"/>
          <w:numId w:val="1"/>
        </w:numPr>
        <w:spacing w:after="0" w:line="240" w:lineRule="auto"/>
      </w:pPr>
      <w:r>
        <w:t>Use 'service' and 'team' tags as primary axes for cost dashboards and showback reports.</w:t>
      </w:r>
    </w:p>
    <w:p>
      <w:pPr>
        <w:numPr>
          <w:ilvl w:val="0"/>
          <w:numId w:val="1"/>
        </w:numPr>
        <w:spacing w:after="0" w:line="240" w:lineRule="auto"/>
      </w:pPr>
      <w:r>
        <w:t>Use 'env' to distinguish production from non-production spend and enforce appropriate optimization expectations.</w:t>
      </w:r>
    </w:p>
    <w:p>
      <w:pPr>
        <w:numPr>
          <w:ilvl w:val="0"/>
          <w:numId w:val="1"/>
        </w:numPr>
        <w:spacing w:after="0" w:line="240" w:lineRule="auto"/>
      </w:pPr>
      <w:r>
        <w:t>Use 'cost-center' to align spend with financial accountability and budgeting.</w:t>
      </w:r>
    </w:p>
    <w:p>
      <w:pPr>
        <w:numPr>
          <w:ilvl w:val="0"/>
          <w:numId w:val="1"/>
        </w:numPr>
        <w:spacing w:after="0" w:line="240" w:lineRule="auto"/>
      </w:pPr>
      <w:r>
        <w:t>Use 'workload-type' and 'availability-tier' to identify optimization opportunities (e.g., over-protected dev resources).</w:t>
      </w:r>
    </w:p>
    <w:p>
      <w:pPr>
        <w:pStyle w:val="Heading1"/>
      </w:pPr>
      <w:r>
        <w:t>8. Exceptions and Legacy Workloads</w:t>
      </w:r>
    </w:p>
    <w:p>
      <w:r>
        <w:t>Some legacy or third-party workloads may be difficult to bring into full compliance immediately. In those cases:</w:t>
      </w:r>
    </w:p>
    <w:p>
      <w:pPr>
        <w:numPr>
          <w:ilvl w:val="0"/>
          <w:numId w:val="1"/>
        </w:numPr>
        <w:spacing w:after="0" w:line="240" w:lineRule="auto"/>
      </w:pPr>
      <w:r>
        <w:t>Apply as many required tags as technically and operationally feasible.</w:t>
      </w:r>
    </w:p>
    <w:p>
      <w:pPr>
        <w:numPr>
          <w:ilvl w:val="0"/>
          <w:numId w:val="1"/>
        </w:numPr>
        <w:spacing w:after="0" w:line="240" w:lineRule="auto"/>
      </w:pPr>
      <w:r>
        <w:t>Document known gaps and a remediation plan with timelines.</w:t>
      </w:r>
    </w:p>
    <w:p>
      <w:pPr>
        <w:numPr>
          <w:ilvl w:val="0"/>
          <w:numId w:val="1"/>
        </w:numPr>
        <w:spacing w:after="0" w:line="240" w:lineRule="auto"/>
      </w:pPr>
      <w:r>
        <w:t>Prefer compensating controls (such as inventory mappings) only as a temporary measure.</w:t>
      </w:r>
    </w:p>
    <w:p>
      <w:pPr>
        <w:numPr>
          <w:ilvl w:val="0"/>
          <w:numId w:val="1"/>
        </w:numPr>
        <w:spacing w:after="0" w:line="240" w:lineRule="auto"/>
      </w:pPr>
      <w:r>
        <w:t>New workloads must comply with this framework from their initial provisioning.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rPr>
    </w:rPrDefault>
    <w:pPrDefault>
      <w:pPr>
        <w:spacing w:after="160" w:line="259" w:lineRule="auto"/>
      </w:pPr>
    </w:pPrDefault>
  </w:docDefaults>
  <w:style w:type="paragraph" w:styleId="Normal">
    <w:name w:val="Normal"/>
  </w:style>
  <w:style w:type="paragraph" w:styleId="Heading1">
    <w:name w:val="heading 1"/>
    <w:basedOn w:val="Normal"/>
    <w:pPr>
      <w:keepNext/>
      <w:spacing w:before="480" w:after="200"/>
      <w:outlineLvl w:val="0"/>
    </w:pPr>
    <w:rPr>
      <w:b/>
      <w:sz w:val="32"/>
    </w:rPr>
  </w:style>
  <w:style w:type="paragraph" w:styleId="Heading2">
    <w:name w:val="heading 2"/>
    <w:basedOn w:val="Normal"/>
    <w:pPr>
      <w:keepNext/>
      <w:spacing w:before="360" w:after="160"/>
      <w:outlineLvl w:val="1"/>
    </w:pPr>
    <w:rPr>
      <w:b/>
      <w:sz w:val="28"/>
    </w:rPr>
  </w:style>
  <w:style w:type="paragraph" w:styleId="Heading4">
    <w:name w:val="heading 4"/>
    <w:basedOn w:val="Normal"/>
    <w:pPr>
      <w:keepNext/>
      <w:spacing w:before="240" w:after="120"/>
      <w:outlineLvl w:val="3"/>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