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Revisión Bibliográfica y Dictamen Metodológico: Extracción Multimodal de Grafos de Arquitectura Cloud y Límites de Inferencia en LLMs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 1: No-Determinismo a Temperatura Cero</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Literatura Revisada por Pares y Precedentes Históricos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fenómeno del no-determinismo en modelos de lenguaje de gran tamaño (LLM) operando con temperatura cero (</w:t>
      </w:r>
      <w:r w:rsidDel="00000000" w:rsidR="00000000" w:rsidRPr="00000000">
        <w:rPr>
          <w:rFonts w:ascii="Google Sans" w:cs="Google Sans" w:eastAsia="Google Sans" w:hAnsi="Google Sans"/>
          <w:color w:val="1f1f1f"/>
        </w:rPr>
        <w:drawing>
          <wp:inline distB="19050" distT="19050" distL="19050" distR="19050">
            <wp:extent cx="500509" cy="245533"/>
            <wp:effectExtent b="0" l="0" r="0" t="0"/>
            <wp:docPr id="4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0509" cy="245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está documentado en la literatura científica y preprints especializados [YA PUBLICADO]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Aunque en el diseño formal de la arquitectura Transformer la decodificación voraz (</w:t>
      </w:r>
      <w:r w:rsidDel="00000000" w:rsidR="00000000" w:rsidRPr="00000000">
        <w:rPr>
          <w:rFonts w:ascii="Google Sans" w:cs="Google Sans" w:eastAsia="Google Sans" w:hAnsi="Google Sans"/>
          <w:i w:val="1"/>
          <w:iCs w:val="1"/>
          <w:color w:val="1f1f1f"/>
          <w:rtl w:val="0"/>
        </w:rPr>
        <w:t xml:space="preserve">greedy decoding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43967" cy="248125"/>
            <wp:effectExtent b="0" l="0" r="0" t="0"/>
            <wp:docPr id="51"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543967" cy="24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constituye una función estrictamente determinista sobre los vectores de </w:t>
      </w:r>
      <w:r w:rsidDel="00000000" w:rsidR="00000000" w:rsidRPr="00000000">
        <w:rPr>
          <w:rFonts w:ascii="Google Sans" w:cs="Google Sans" w:eastAsia="Google Sans" w:hAnsi="Google Sans"/>
          <w:i w:val="1"/>
          <w:iCs w:val="1"/>
          <w:color w:val="1f1f1f"/>
          <w:rtl w:val="0"/>
        </w:rPr>
        <w:t xml:space="preserve">logits</w:t>
      </w:r>
      <w:r w:rsidDel="00000000" w:rsidR="00000000" w:rsidRPr="00000000">
        <w:rPr>
          <w:rFonts w:ascii="Google Sans" w:cs="Google Sans" w:eastAsia="Google Sans" w:hAnsi="Google Sans"/>
          <w:color w:val="1f1f1f"/>
          <w:rtl w:val="0"/>
        </w:rPr>
        <w:t xml:space="preserve">, las implementaciones reales de inferencia en plataformas distribuidas violan de manera sistemática este principio matemático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estudio formal de esta discrepancia ganó tracción crítica entre 2024 y 2025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Atil et al. (2024/2025) en </w:t>
      </w:r>
      <w:r w:rsidDel="00000000" w:rsidR="00000000" w:rsidRPr="00000000">
        <w:rPr>
          <w:rFonts w:ascii="Google Sans" w:cs="Google Sans" w:eastAsia="Google Sans" w:hAnsi="Google Sans"/>
          <w:i w:val="1"/>
          <w:iCs w:val="1"/>
          <w:color w:val="1f1f1f"/>
          <w:rtl w:val="0"/>
        </w:rPr>
        <w:t xml:space="preserve">"Non-Determinism of 'Deterministic' LLM Settings"</w:t>
      </w:r>
      <w:r w:rsidDel="00000000" w:rsidR="00000000" w:rsidRPr="00000000">
        <w:rPr>
          <w:rFonts w:ascii="Google Sans" w:cs="Google Sans" w:eastAsia="Google Sans" w:hAnsi="Google Sans"/>
          <w:color w:val="1f1f1f"/>
          <w:rtl w:val="0"/>
        </w:rPr>
        <w:t xml:space="preserve"> (publicado en el </w:t>
      </w:r>
      <w:r w:rsidDel="00000000" w:rsidR="00000000" w:rsidRPr="00000000">
        <w:rPr>
          <w:rFonts w:ascii="Google Sans" w:cs="Google Sans" w:eastAsia="Google Sans" w:hAnsi="Google Sans"/>
          <w:i w:val="1"/>
          <w:iCs w:val="1"/>
          <w:color w:val="1f1f1f"/>
          <w:rtl w:val="0"/>
        </w:rPr>
        <w:t xml:space="preserve">5th Workshop on Evaluation and Comparison of NLP Systems</w:t>
      </w:r>
      <w:r w:rsidDel="00000000" w:rsidR="00000000" w:rsidRPr="00000000">
        <w:rPr>
          <w:rFonts w:ascii="Google Sans" w:cs="Google Sans" w:eastAsia="Google Sans" w:hAnsi="Google Sans"/>
          <w:color w:val="1f1f1f"/>
          <w:rtl w:val="0"/>
        </w:rPr>
        <w:t xml:space="preserve">) documentaron empíricamente que cinco familias de modelos comerciales configurados en sus entornos teóricamente deterministas exhiben divergencias considerables entre repeticiones con entradas idénticas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 anterioridad, observaciones empíricas preliminares habían sido descritas por Ouyang et al. (2023) y en discusiones técnicas de ingeniería de sistemas dentro de las comunidades de desarrollo de vLLM y Hugging Face entre 2022 y 2023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Posteriormente, Yuan et al. (NeurIPS 2025) y He et al. (2025) aislaron los mecanismos numéricos y de arquitectura de sistemas que causan esta varianza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Explicación Técnica Aceptada del Fenómeno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causa fundamental del no-determinismo a temperatura cero no proviene de un generador de números pseudoaleatorios activo, sino de la interacción entre la aritmética de punto flotante en hardware paralelo masivo y las optimizaciones de rendimiento en los motores de servicio concurrentes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Técnico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Causa Subyacente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en la Decodificación Auto-Regresiva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No-asociatividad de punto flotante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suma en formatos IEEE 754 (FP16, BF16, FP32) no es asociativa: </w:t>
            </w:r>
            <w:r w:rsidDel="00000000" w:rsidR="00000000" w:rsidRPr="00000000">
              <w:rPr>
                <w:rFonts w:ascii="Google Sans" w:cs="Google Sans" w:eastAsia="Google Sans" w:hAnsi="Google Sans"/>
                <w:color w:val="1f1f1f"/>
              </w:rPr>
              <w:drawing>
                <wp:inline distB="19050" distT="19050" distL="19050" distR="19050">
                  <wp:extent cx="1826123" cy="218754"/>
                  <wp:effectExtent b="0" l="0" r="0" t="0"/>
                  <wp:docPr id="50"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1826123" cy="21875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Pequeñas variaciones numéricas en los últimos bits de los acumuladores alteran los valores finales de los </w:t>
            </w:r>
            <w:r w:rsidDel="00000000" w:rsidR="00000000" w:rsidRPr="00000000">
              <w:rPr>
                <w:rFonts w:ascii="Google Sans" w:cs="Google Sans" w:eastAsia="Google Sans" w:hAnsi="Google Sans"/>
                <w:i w:val="1"/>
                <w:iCs w:val="1"/>
                <w:color w:val="1f1f1f"/>
                <w:rtl w:val="0"/>
              </w:rPr>
              <w:t xml:space="preserve">logits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Orden de reducción en kernels paralelos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operaciones como </w:t>
            </w:r>
            <w:r w:rsidDel="00000000" w:rsidR="00000000" w:rsidRPr="00000000">
              <w:rPr>
                <w:rFonts w:ascii="Google Sans" w:cs="Google Sans" w:eastAsia="Google Sans" w:hAnsi="Google Sans"/>
                <w:i w:val="1"/>
                <w:iCs w:val="1"/>
                <w:color w:val="1f1f1f"/>
                <w:rtl w:val="0"/>
              </w:rPr>
              <w:t xml:space="preserve">GEMM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LayerNorm</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RMSNorm</w:t>
            </w:r>
            <w:r w:rsidDel="00000000" w:rsidR="00000000" w:rsidRPr="00000000">
              <w:rPr>
                <w:rFonts w:ascii="Google Sans" w:cs="Google Sans" w:eastAsia="Google Sans" w:hAnsi="Google Sans"/>
                <w:color w:val="1f1f1f"/>
                <w:rtl w:val="0"/>
              </w:rPr>
              <w:t xml:space="preserve"> y reducciones de árbol en GPU, la secuencia de acumulación varía según la asignación dinámica de </w:t>
            </w:r>
            <w:r w:rsidDel="00000000" w:rsidR="00000000" w:rsidRPr="00000000">
              <w:rPr>
                <w:rFonts w:ascii="Google Sans" w:cs="Google Sans" w:eastAsia="Google Sans" w:hAnsi="Google Sans"/>
                <w:i w:val="1"/>
                <w:iCs w:val="1"/>
                <w:color w:val="1f1f1f"/>
                <w:rtl w:val="0"/>
              </w:rPr>
              <w:t xml:space="preserve">warps</w:t>
            </w:r>
            <w:r w:rsidDel="00000000" w:rsidR="00000000" w:rsidRPr="00000000">
              <w:rPr>
                <w:rFonts w:ascii="Google Sans" w:cs="Google Sans" w:eastAsia="Google Sans" w:hAnsi="Google Sans"/>
                <w:color w:val="1f1f1f"/>
                <w:rtl w:val="0"/>
              </w:rPr>
              <w:t xml:space="preserve"> y bloques de ejecución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Provoca fluctuaciones numéricas infinitesimales entre ejecuciones concurrentes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Continuous Batching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motores de servicio (vLLM, TGI, TensorRT-LLM) reprograman y agrupan peticiones dinámicamente a nivel de cada paso de decodificación (</w:t>
            </w:r>
            <w:r w:rsidDel="00000000" w:rsidR="00000000" w:rsidRPr="00000000">
              <w:rPr>
                <w:rFonts w:ascii="Google Sans" w:cs="Google Sans" w:eastAsia="Google Sans" w:hAnsi="Google Sans"/>
                <w:i w:val="1"/>
                <w:iCs w:val="1"/>
                <w:color w:val="1f1f1f"/>
                <w:rtl w:val="0"/>
              </w:rPr>
              <w:t xml:space="preserve">iteration-level scheduling</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contexto del lote en el que se ejecuta una petición cambia en cada </w:t>
            </w:r>
            <w:r w:rsidDel="00000000" w:rsidR="00000000" w:rsidRPr="00000000">
              <w:rPr>
                <w:rFonts w:ascii="Google Sans" w:cs="Google Sans" w:eastAsia="Google Sans" w:hAnsi="Google Sans"/>
                <w:i w:val="1"/>
                <w:iCs w:val="1"/>
                <w:color w:val="1f1f1f"/>
                <w:rtl w:val="0"/>
              </w:rPr>
              <w:t xml:space="preserve">token</w:t>
            </w:r>
            <w:r w:rsidDel="00000000" w:rsidR="00000000" w:rsidRPr="00000000">
              <w:rPr>
                <w:rFonts w:ascii="Google Sans" w:cs="Google Sans" w:eastAsia="Google Sans" w:hAnsi="Google Sans"/>
                <w:color w:val="1f1f1f"/>
                <w:rtl w:val="0"/>
              </w:rPr>
              <w:t xml:space="preserve">, modificando las dimensiones de reducción y los patrones de acceso a memoria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Ruteo dinámico en Mixture of Experts (MoE)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Modelos como Gemini Flash distribuyen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a subredes (</w:t>
            </w:r>
            <w:r w:rsidDel="00000000" w:rsidR="00000000" w:rsidRPr="00000000">
              <w:rPr>
                <w:rFonts w:ascii="Google Sans" w:cs="Google Sans" w:eastAsia="Google Sans" w:hAnsi="Google Sans"/>
                <w:i w:val="1"/>
                <w:iCs w:val="1"/>
                <w:color w:val="1f1f1f"/>
                <w:rtl w:val="0"/>
              </w:rPr>
              <w:t xml:space="preserve">experts</w:t>
            </w:r>
            <w:r w:rsidDel="00000000" w:rsidR="00000000" w:rsidRPr="00000000">
              <w:rPr>
                <w:rFonts w:ascii="Google Sans" w:cs="Google Sans" w:eastAsia="Google Sans" w:hAnsi="Google Sans"/>
                <w:color w:val="1f1f1f"/>
                <w:rtl w:val="0"/>
              </w:rPr>
              <w:t xml:space="preserve">) mediante compuertas que aplican restricciones de capacidad por lote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Variaciones en el contenido concurrente del lote pueden provocar que un </w:t>
            </w:r>
            <w:r w:rsidDel="00000000" w:rsidR="00000000" w:rsidRPr="00000000">
              <w:rPr>
                <w:rFonts w:ascii="Google Sans" w:cs="Google Sans" w:eastAsia="Google Sans" w:hAnsi="Google Sans"/>
                <w:i w:val="1"/>
                <w:iCs w:val="1"/>
                <w:color w:val="1f1f1f"/>
                <w:rtl w:val="0"/>
              </w:rPr>
              <w:t xml:space="preserve">token</w:t>
            </w:r>
            <w:r w:rsidDel="00000000" w:rsidR="00000000" w:rsidRPr="00000000">
              <w:rPr>
                <w:rFonts w:ascii="Google Sans" w:cs="Google Sans" w:eastAsia="Google Sans" w:hAnsi="Google Sans"/>
                <w:color w:val="1f1f1f"/>
                <w:rtl w:val="0"/>
              </w:rPr>
              <w:t xml:space="preserve"> marginal se asigne a un experto diferente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PagedAttention y fragmentación de memoria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disposición física no contigua de los bloques de memoria asignados a la caché KV altera el orden de reducción en los kernels de atención fusionada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 diferencias de redondeo numérico en el cálculo de la atención cruzada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dos candidatos a siguiente </w:t>
      </w:r>
      <w:r w:rsidDel="00000000" w:rsidR="00000000" w:rsidRPr="00000000">
        <w:rPr>
          <w:rFonts w:ascii="Google Sans" w:cs="Google Sans" w:eastAsia="Google Sans" w:hAnsi="Google Sans"/>
          <w:i w:val="1"/>
          <w:iCs w:val="1"/>
          <w:color w:val="1f1f1f"/>
          <w:rtl w:val="0"/>
        </w:rPr>
        <w:t xml:space="preserve">token</w:t>
      </w:r>
      <w:r w:rsidDel="00000000" w:rsidR="00000000" w:rsidRPr="00000000">
        <w:rPr>
          <w:rFonts w:ascii="Google Sans" w:cs="Google Sans" w:eastAsia="Google Sans" w:hAnsi="Google Sans"/>
          <w:color w:val="1f1f1f"/>
          <w:rtl w:val="0"/>
        </w:rPr>
        <w:t xml:space="preserve"> presentan valores de logit casi idénticos, una discrepancia numérica en el decimosexto decimal invierte el resultado del operador </w:t>
      </w:r>
      <w:r w:rsidDel="00000000" w:rsidR="00000000" w:rsidRPr="00000000">
        <w:rPr>
          <w:rFonts w:ascii="Google Sans" w:cs="Google Sans" w:eastAsia="Google Sans" w:hAnsi="Google Sans"/>
          <w:color w:val="1f1f1f"/>
        </w:rPr>
        <w:drawing>
          <wp:inline distB="19050" distT="19050" distL="19050" distR="19050">
            <wp:extent cx="637133" cy="237736"/>
            <wp:effectExtent b="0" l="0" r="0" t="0"/>
            <wp:docPr id="53"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637133" cy="23773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Tras seleccionar un </w:t>
      </w:r>
      <w:r w:rsidDel="00000000" w:rsidR="00000000" w:rsidRPr="00000000">
        <w:rPr>
          <w:rFonts w:ascii="Google Sans" w:cs="Google Sans" w:eastAsia="Google Sans" w:hAnsi="Google Sans"/>
          <w:i w:val="1"/>
          <w:iCs w:val="1"/>
          <w:color w:val="1f1f1f"/>
          <w:rtl w:val="0"/>
        </w:rPr>
        <w:t xml:space="preserve">token</w:t>
      </w:r>
      <w:r w:rsidDel="00000000" w:rsidR="00000000" w:rsidRPr="00000000">
        <w:rPr>
          <w:rFonts w:ascii="Google Sans" w:cs="Google Sans" w:eastAsia="Google Sans" w:hAnsi="Google Sans"/>
          <w:color w:val="1f1f1f"/>
          <w:rtl w:val="0"/>
        </w:rPr>
        <w:t xml:space="preserve"> divergente, el prefijo de entrada cambia para el siguiente ciclo, desatando una divergencia auto-regresiva que altera por completo la estructura del texto generado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Cuantificación de la Magnitud en Métricas Downstream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Atil et al. (2024) evaluaron el impacto de este fenómeno sobre tareas de razonamiento formal (MMLU y BIG-bench Hard), midiendo la tasa de acuerdo total en la respuesta cruda (</w:t>
      </w:r>
      <w:r w:rsidDel="00000000" w:rsidR="00000000" w:rsidRPr="00000000">
        <w:rPr>
          <w:rFonts w:ascii="Google Sans" w:cs="Google Sans" w:eastAsia="Google Sans" w:hAnsi="Google Sans"/>
          <w:color w:val="1f1f1f"/>
        </w:rPr>
        <w:drawing>
          <wp:inline distB="19050" distT="19050" distL="19050" distR="19050">
            <wp:extent cx="838647" cy="247782"/>
            <wp:effectExtent b="0" l="0" r="0" t="0"/>
            <wp:docPr id="52"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838647" cy="2477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en la respuesta parseada (</w:t>
      </w:r>
      <w:r w:rsidDel="00000000" w:rsidR="00000000" w:rsidRPr="00000000">
        <w:rPr>
          <w:rFonts w:ascii="Google Sans" w:cs="Google Sans" w:eastAsia="Google Sans" w:hAnsi="Google Sans"/>
          <w:color w:val="1f1f1f"/>
        </w:rPr>
        <w:drawing>
          <wp:inline distB="19050" distT="19050" distL="19050" distR="19050">
            <wp:extent cx="845641" cy="247041"/>
            <wp:effectExtent b="0" l="0" r="0" t="0"/>
            <wp:docPr id="57"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845641" cy="2470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lo largo de 10 ejecuciones idénticas a </w:t>
      </w:r>
      <w:r w:rsidDel="00000000" w:rsidR="00000000" w:rsidRPr="00000000">
        <w:rPr>
          <w:rFonts w:ascii="Google Sans" w:cs="Google Sans" w:eastAsia="Google Sans" w:hAnsi="Google Sans"/>
          <w:color w:val="1f1f1f"/>
        </w:rPr>
        <w:drawing>
          <wp:inline distB="19050" distT="19050" distL="19050" distR="19050">
            <wp:extent cx="500509" cy="245533"/>
            <wp:effectExtent b="0" l="0" r="0" t="0"/>
            <wp:docPr id="5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0509" cy="24553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Sus experimentos evidenciaron variaciones de exactitud de hasta 15 puntos porcentuales entre corridas naturales, con brechas de hasta 70 puntos porcentuales entre la mejor y la peor corrida posible en configuraciones específicas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Además, demostraron una correlación negativa pronunciada entre la longitud de la secuencia de salida y la estabilidad del resultado: a mayor número de </w:t>
      </w:r>
      <w:r w:rsidDel="00000000" w:rsidR="00000000" w:rsidRPr="00000000">
        <w:rPr>
          <w:rFonts w:ascii="Google Sans" w:cs="Google Sans" w:eastAsia="Google Sans" w:hAnsi="Google Sans"/>
          <w:i w:val="1"/>
          <w:iCs w:val="1"/>
          <w:color w:val="1f1f1f"/>
          <w:rtl w:val="0"/>
        </w:rPr>
        <w:t xml:space="preserve">tokens</w:t>
      </w:r>
      <w:r w:rsidDel="00000000" w:rsidR="00000000" w:rsidRPr="00000000">
        <w:rPr>
          <w:rFonts w:ascii="Google Sans" w:cs="Google Sans" w:eastAsia="Google Sans" w:hAnsi="Google Sans"/>
          <w:color w:val="1f1f1f"/>
          <w:rtl w:val="0"/>
        </w:rPr>
        <w:t xml:space="preserve"> generados, la probabilidad de reproducibilidad exacta decae drásticamente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Veredicto de Novedad</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El reporte del no-determinismo a </w:t>
      </w:r>
      <w:r w:rsidDel="00000000" w:rsidR="00000000" w:rsidRPr="00000000">
        <w:rPr>
          <w:rFonts w:ascii="Google Sans" w:cs="Google Sans" w:eastAsia="Google Sans" w:hAnsi="Google Sans"/>
          <w:color w:val="1f1f1f"/>
        </w:rPr>
        <w:drawing>
          <wp:inline distB="19050" distT="19050" distL="19050" distR="19050">
            <wp:extent cx="500509" cy="245533"/>
            <wp:effectExtent b="0" l="0" r="0" t="0"/>
            <wp:docPr id="62"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0509" cy="245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su explicación mediante aritmética de punto flotante y </w:t>
      </w:r>
      <w:r w:rsidDel="00000000" w:rsidR="00000000" w:rsidRPr="00000000">
        <w:rPr>
          <w:rFonts w:ascii="Google Sans" w:cs="Google Sans" w:eastAsia="Google Sans" w:hAnsi="Google Sans"/>
          <w:i w:val="1"/>
          <w:iCs w:val="1"/>
          <w:color w:val="1f1f1f"/>
          <w:rtl w:val="0"/>
        </w:rPr>
        <w:t xml:space="preserve">continuous batching</w:t>
      </w:r>
      <w:r w:rsidDel="00000000" w:rsidR="00000000" w:rsidRPr="00000000">
        <w:rPr>
          <w:rFonts w:ascii="Google Sans" w:cs="Google Sans" w:eastAsia="Google Sans" w:hAnsi="Google Sans"/>
          <w:color w:val="1f1f1f"/>
          <w:rtl w:val="0"/>
        </w:rPr>
        <w:t xml:space="preserve">: [YA PUBLICADO]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La demostración empírica de que la varianza entre repeticiones del mismo prompt (</w:t>
      </w:r>
      <w:r w:rsidDel="00000000" w:rsidR="00000000" w:rsidRPr="00000000">
        <w:rPr>
          <w:rFonts w:ascii="Google Sans" w:cs="Google Sans" w:eastAsia="Google Sans" w:hAnsi="Google Sans"/>
          <w:color w:val="1f1f1f"/>
        </w:rPr>
        <w:drawing>
          <wp:inline distB="19050" distT="19050" distL="19050" distR="19050">
            <wp:extent cx="728216" cy="249126"/>
            <wp:effectExtent b="0" l="0" r="0" t="0"/>
            <wp:docPr id="60" name="image43.png"/>
            <a:graphic>
              <a:graphicData uri="http://schemas.openxmlformats.org/drawingml/2006/picture">
                <pic:pic>
                  <pic:nvPicPr>
                    <pic:cNvPr id="0" name="image43.png"/>
                    <pic:cNvPicPr preferRelativeResize="0"/>
                  </pic:nvPicPr>
                  <pic:blipFill>
                    <a:blip r:embed="rId12"/>
                    <a:srcRect b="0" l="0" r="0" t="0"/>
                    <a:stretch>
                      <a:fillRect/>
                    </a:stretch>
                  </pic:blipFill>
                  <pic:spPr>
                    <a:xfrm>
                      <a:off x="0" y="0"/>
                      <a:ext cx="728216" cy="249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puntos de F1) iguala la varianza entre prompts estructuralmente distintos (</w:t>
      </w:r>
      <w:r w:rsidDel="00000000" w:rsidR="00000000" w:rsidRPr="00000000">
        <w:rPr>
          <w:rFonts w:ascii="Google Sans" w:cs="Google Sans" w:eastAsia="Google Sans" w:hAnsi="Google Sans"/>
          <w:color w:val="1f1f1f"/>
        </w:rPr>
        <w:drawing>
          <wp:inline distB="19050" distT="19050" distL="19050" distR="19050">
            <wp:extent cx="728216" cy="249126"/>
            <wp:effectExtent b="0" l="0" r="0" t="0"/>
            <wp:docPr id="67"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728216" cy="2491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razón 0.99) en extracción multimodal de grafos, anulando por completo las tablas de ablación convencionales: [SIN COBERTURA APARENTE]. Presentar esto como un caso de estudio formal sobre la invalidez de ablaciones en tareas estructuradas complejas constituye una contribución metodológica original.</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 2: Potencia Estadística y Ablaciones en NLP</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Potencia Estadística Insuficiente y Card et al. (EMNLP 2020)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formal de la potencia estadística en procesamiento del lenguaje natural está fundamentado en el trabajo de Card et al. (EMNLP 2020), </w:t>
      </w:r>
      <w:r w:rsidDel="00000000" w:rsidR="00000000" w:rsidRPr="00000000">
        <w:rPr>
          <w:rFonts w:ascii="Google Sans" w:cs="Google Sans" w:eastAsia="Google Sans" w:hAnsi="Google Sans"/>
          <w:i w:val="1"/>
          <w:iCs w:val="1"/>
          <w:color w:val="1f1f1f"/>
          <w:rtl w:val="0"/>
        </w:rPr>
        <w:t xml:space="preserve">"With Little Power Comes Great Responsibility"</w:t>
      </w:r>
      <w:r w:rsidDel="00000000" w:rsidR="00000000" w:rsidRPr="00000000">
        <w:rPr>
          <w:rFonts w:ascii="Google Sans" w:cs="Google Sans" w:eastAsia="Google Sans" w:hAnsi="Google Sans"/>
          <w:color w:val="1f1f1f"/>
          <w:rtl w:val="0"/>
        </w:rPr>
        <w:t xml:space="preserve"> [YA PUBLICADO]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Card et al. demostraron que la comunidad de NLP ignora habitualmente el cálculo de potencia estadística (</w:t>
      </w:r>
      <w:r w:rsidDel="00000000" w:rsidR="00000000" w:rsidRPr="00000000">
        <w:rPr>
          <w:rFonts w:ascii="Google Sans" w:cs="Google Sans" w:eastAsia="Google Sans" w:hAnsi="Google Sans"/>
          <w:color w:val="1f1f1f"/>
        </w:rPr>
        <w:drawing>
          <wp:inline distB="19050" distT="19050" distL="19050" distR="19050">
            <wp:extent cx="121147" cy="242293"/>
            <wp:effectExtent b="0" l="0" r="0" t="0"/>
            <wp:docPr id="63" name="image48.png"/>
            <a:graphic>
              <a:graphicData uri="http://schemas.openxmlformats.org/drawingml/2006/picture">
                <pic:pic>
                  <pic:nvPicPr>
                    <pic:cNvPr id="0" name="image48.png"/>
                    <pic:cNvPicPr preferRelativeResize="0"/>
                  </pic:nvPicPr>
                  <pic:blipFill>
                    <a:blip r:embed="rId14"/>
                    <a:srcRect b="0" l="0" r="0" t="0"/>
                    <a:stretch>
                      <a:fillRect/>
                    </a:stretch>
                  </pic:blipFill>
                  <pic:spPr>
                    <a:xfrm>
                      <a:off x="0" y="0"/>
                      <a:ext cx="121147" cy="2422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resultando en experimentos subpotenciados (</w:t>
      </w:r>
      <w:r w:rsidDel="00000000" w:rsidR="00000000" w:rsidRPr="00000000">
        <w:rPr>
          <w:rFonts w:ascii="Google Sans" w:cs="Google Sans" w:eastAsia="Google Sans" w:hAnsi="Google Sans"/>
          <w:i w:val="1"/>
          <w:iCs w:val="1"/>
          <w:color w:val="1f1f1f"/>
          <w:rtl w:val="0"/>
        </w:rPr>
        <w:t xml:space="preserve">underpowered</w:t>
      </w:r>
      <w:r w:rsidDel="00000000" w:rsidR="00000000" w:rsidRPr="00000000">
        <w:rPr>
          <w:rFonts w:ascii="Google Sans" w:cs="Google Sans" w:eastAsia="Google Sans" w:hAnsi="Google Sans"/>
          <w:color w:val="1f1f1f"/>
          <w:rtl w:val="0"/>
        </w:rPr>
        <w:t xml:space="preserve">) que confunden el ruido estocástico con mejoras reales del modelo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En benchmarks estándar como GLUE, los conjuntos de prueba reducidos impiden discernir diferencias auténticas frente al estado del arte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En traducción automática, por ejemplo, conjuntos de 2000 oraciones apenas alcanzan un 75% de potencia para detectar diferencias reales de 1.0 punto de BLEU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de Card et al. se aplica de forma directa a la evaluación de grafos: un efecto mínimo detectable (</w:t>
      </w:r>
      <w:r w:rsidDel="00000000" w:rsidR="00000000" w:rsidRPr="00000000">
        <w:rPr>
          <w:rFonts w:ascii="Google Sans" w:cs="Google Sans" w:eastAsia="Google Sans" w:hAnsi="Google Sans"/>
          <w:color w:val="1f1f1f"/>
        </w:rPr>
        <w:drawing>
          <wp:inline distB="19050" distT="19050" distL="19050" distR="19050">
            <wp:extent cx="462706" cy="236075"/>
            <wp:effectExtent b="0" l="0" r="0" t="0"/>
            <wp:docPr id="6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2706" cy="236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6.4 puntos de F1 con </w:t>
      </w:r>
      <w:r w:rsidDel="00000000" w:rsidR="00000000" w:rsidRPr="00000000">
        <w:rPr>
          <w:rFonts w:ascii="Google Sans" w:cs="Google Sans" w:eastAsia="Google Sans" w:hAnsi="Google Sans"/>
          <w:color w:val="1f1f1f"/>
        </w:rPr>
        <w:drawing>
          <wp:inline distB="19050" distT="19050" distL="19050" distR="19050">
            <wp:extent cx="574477" cy="248940"/>
            <wp:effectExtent b="0" l="0" r="0" t="0"/>
            <wp:docPr id="68" name="image50.png"/>
            <a:graphic>
              <a:graphicData uri="http://schemas.openxmlformats.org/drawingml/2006/picture">
                <pic:pic>
                  <pic:nvPicPr>
                    <pic:cNvPr id="0" name="image50.png"/>
                    <pic:cNvPicPr preferRelativeResize="0"/>
                  </pic:nvPicPr>
                  <pic:blipFill>
                    <a:blip r:embed="rId16"/>
                    <a:srcRect b="0" l="0" r="0" t="0"/>
                    <a:stretch>
                      <a:fillRect/>
                    </a:stretch>
                  </pic:blipFill>
                  <pic:spPr>
                    <a:xfrm>
                      <a:off x="0" y="0"/>
                      <a:ext cx="574477" cy="248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4.4 con </w:t>
      </w:r>
      <w:r w:rsidDel="00000000" w:rsidR="00000000" w:rsidRPr="00000000">
        <w:rPr>
          <w:rFonts w:ascii="Google Sans" w:cs="Google Sans" w:eastAsia="Google Sans" w:hAnsi="Google Sans"/>
          <w:color w:val="1f1f1f"/>
        </w:rPr>
        <w:drawing>
          <wp:inline distB="19050" distT="19050" distL="19050" distR="19050">
            <wp:extent cx="574477" cy="248940"/>
            <wp:effectExtent b="0" l="0" r="0" t="0"/>
            <wp:docPr id="70"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4477" cy="248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bajo una potencia del 80% (</w:t>
      </w:r>
      <w:r w:rsidDel="00000000" w:rsidR="00000000" w:rsidRPr="00000000">
        <w:rPr>
          <w:rFonts w:ascii="Google Sans" w:cs="Google Sans" w:eastAsia="Google Sans" w:hAnsi="Google Sans"/>
          <w:color w:val="1f1f1f"/>
        </w:rPr>
        <w:drawing>
          <wp:inline distB="19050" distT="19050" distL="19050" distR="19050">
            <wp:extent cx="644723" cy="218068"/>
            <wp:effectExtent b="0" l="0" r="0" t="0"/>
            <wp:docPr id="72"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644723" cy="218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implica que cualquier delta real de prompt engineering de magnitud moderada (</w:t>
      </w:r>
      <w:r w:rsidDel="00000000" w:rsidR="00000000" w:rsidRPr="00000000">
        <w:rPr>
          <w:rFonts w:ascii="Google Sans" w:cs="Google Sans" w:eastAsia="Google Sans" w:hAnsi="Google Sans"/>
          <w:color w:val="1f1f1f"/>
        </w:rPr>
        <w:drawing>
          <wp:inline distB="19050" distT="19050" distL="19050" distR="19050">
            <wp:extent cx="457051" cy="238048"/>
            <wp:effectExtent b="0" l="0" r="0" t="0"/>
            <wp:docPr id="74"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457051" cy="238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puntos) es estadísticamente indetectable, garantizando una alta tasa de errores de Tipo II (falsos negativos) y de Tipo M (exageración de magnitud en variantes que parecen superar al control por azar)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Ruido de Prompting y Sensibilidad Estructural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susceptibilidad de los LLMs a perturbaciones menores en los prompts está ampliamente documentada [YA PUBLICADO]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Sclar et al. (ICLR 2024), en </w:t>
      </w:r>
      <w:r w:rsidDel="00000000" w:rsidR="00000000" w:rsidRPr="00000000">
        <w:rPr>
          <w:rFonts w:ascii="Google Sans" w:cs="Google Sans" w:eastAsia="Google Sans" w:hAnsi="Google Sans"/>
          <w:i w:val="1"/>
          <w:iCs w:val="1"/>
          <w:color w:val="1f1f1f"/>
          <w:rtl w:val="0"/>
        </w:rPr>
        <w:t xml:space="preserve">"Quantifying Language Models' Sensitivity to Spurious Features in Prompt Design"</w:t>
      </w:r>
      <w:r w:rsidDel="00000000" w:rsidR="00000000" w:rsidRPr="00000000">
        <w:rPr>
          <w:rFonts w:ascii="Google Sans" w:cs="Google Sans" w:eastAsia="Google Sans" w:hAnsi="Google Sans"/>
          <w:color w:val="1f1f1f"/>
          <w:rtl w:val="0"/>
        </w:rPr>
        <w:t xml:space="preserve">, introdujeron el algoritmo </w:t>
      </w:r>
      <w:r w:rsidDel="00000000" w:rsidR="00000000" w:rsidRPr="00000000">
        <w:rPr>
          <w:rFonts w:ascii="Google Sans" w:cs="Google Sans" w:eastAsia="Google Sans" w:hAnsi="Google Sans"/>
          <w:i w:val="1"/>
          <w:iCs w:val="1"/>
          <w:color w:val="1f1f1f"/>
          <w:rtl w:val="0"/>
        </w:rPr>
        <w:t xml:space="preserve">FormatSpread</w:t>
      </w:r>
      <w:r w:rsidDel="00000000" w:rsidR="00000000" w:rsidRPr="00000000">
        <w:rPr>
          <w:rFonts w:ascii="Google Sans" w:cs="Google Sans" w:eastAsia="Google Sans" w:hAnsi="Google Sans"/>
          <w:color w:val="1f1f1f"/>
          <w:rtl w:val="0"/>
        </w:rPr>
        <w:t xml:space="preserve"> para evidenciar que alteraciones superficiales en el formato de un prompt (como espacios en blanco, separadores o encabezados) inducen variaciones de rendimiento de hasta 50 puntos de precisión sin relación alguna con la capacidad de razonamiento del modelo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 literatura sobre la crisis de reproducibilidad en NLP ha ratificado que la dispersión intra-modelo frecuentemente sobrepasa las diferencias reportadas en tablas comparativas de </w:t>
      </w:r>
      <w:r w:rsidDel="00000000" w:rsidR="00000000" w:rsidRPr="00000000">
        <w:rPr>
          <w:rFonts w:ascii="Google Sans" w:cs="Google Sans" w:eastAsia="Google Sans" w:hAnsi="Google Sans"/>
          <w:i w:val="1"/>
          <w:iCs w:val="1"/>
          <w:color w:val="1f1f1f"/>
          <w:rtl w:val="0"/>
        </w:rPr>
        <w:t xml:space="preserve">prompt engineering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Prácticas Recomendadas para Comparación de Prompts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base en las directrices de Dror et al. (ACL 2018, </w:t>
      </w:r>
      <w:r w:rsidDel="00000000" w:rsidR="00000000" w:rsidRPr="00000000">
        <w:rPr>
          <w:rFonts w:ascii="Google Sans" w:cs="Google Sans" w:eastAsia="Google Sans" w:hAnsi="Google Sans"/>
          <w:i w:val="1"/>
          <w:iCs w:val="1"/>
          <w:color w:val="1f1f1f"/>
          <w:rtl w:val="0"/>
        </w:rPr>
        <w:t xml:space="preserve">"The Hitchhiker's Guide to Testing Statistical Significance in NLP"</w:t>
      </w:r>
      <w:r w:rsidDel="00000000" w:rsidR="00000000" w:rsidRPr="00000000">
        <w:rPr>
          <w:rFonts w:ascii="Google Sans" w:cs="Google Sans" w:eastAsia="Google Sans" w:hAnsi="Google Sans"/>
          <w:color w:val="1f1f1f"/>
          <w:rtl w:val="0"/>
        </w:rPr>
        <w:t xml:space="preserve">), la comparación estadística rigurosa de modelos y variantes de prompt exige: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Protocolo Recomendado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Fundamento Estadístico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Pruebas de Significación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Pruebas de permutación pareada (</w:t>
            </w:r>
            <w:r w:rsidDel="00000000" w:rsidR="00000000" w:rsidRPr="00000000">
              <w:rPr>
                <w:rFonts w:ascii="Google Sans" w:cs="Google Sans" w:eastAsia="Google Sans" w:hAnsi="Google Sans"/>
                <w:i w:val="1"/>
                <w:iCs w:val="1"/>
                <w:color w:val="1f1f1f"/>
                <w:rtl w:val="0"/>
              </w:rPr>
              <w:t xml:space="preserve">paired permutation tests</w:t>
            </w:r>
            <w:r w:rsidDel="00000000" w:rsidR="00000000" w:rsidRPr="00000000">
              <w:rPr>
                <w:rFonts w:ascii="Google Sans" w:cs="Google Sans" w:eastAsia="Google Sans" w:hAnsi="Google Sans"/>
                <w:color w:val="1f1f1f"/>
                <w:rtl w:val="0"/>
              </w:rPr>
              <w:t xml:space="preserve">) o remuestreo por </w:t>
            </w:r>
            <w:r w:rsidDel="00000000" w:rsidR="00000000" w:rsidRPr="00000000">
              <w:rPr>
                <w:rFonts w:ascii="Google Sans" w:cs="Google Sans" w:eastAsia="Google Sans" w:hAnsi="Google Sans"/>
                <w:i w:val="1"/>
                <w:iCs w:val="1"/>
                <w:color w:val="1f1f1f"/>
                <w:rtl w:val="0"/>
              </w:rPr>
              <w:t xml:space="preserve">bootstrap</w:t>
            </w:r>
            <w:r w:rsidDel="00000000" w:rsidR="00000000" w:rsidRPr="00000000">
              <w:rPr>
                <w:rFonts w:ascii="Google Sans" w:cs="Google Sans" w:eastAsia="Google Sans" w:hAnsi="Google Sans"/>
                <w:color w:val="1f1f1f"/>
                <w:rtl w:val="0"/>
              </w:rPr>
              <w:t xml:space="preserve"> estratificado.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asumen distribuciones paramétricas normales sobre métricas de grafos acotadas.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 de Multiplicidad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Corrección de Benjamini-Hochberg (FDR) o ajuste de Bonferroni.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Imprescindible al comparar simultáneamente múltiples variantes (por ejemplo, 11 prompts) para controlar la tasa de falsos descubrimientos.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Repeticiones y Semillas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Mínimo de 5 a 10 réplicas independientes por configuración sobre APIs comerciales a </w:t>
            </w:r>
            <w:r w:rsidDel="00000000" w:rsidR="00000000" w:rsidRPr="00000000">
              <w:rPr>
                <w:rFonts w:ascii="Google Sans" w:cs="Google Sans" w:eastAsia="Google Sans" w:hAnsi="Google Sans"/>
                <w:color w:val="1f1f1f"/>
              </w:rPr>
              <w:drawing>
                <wp:inline distB="19050" distT="19050" distL="19050" distR="19050">
                  <wp:extent cx="500509" cy="245533"/>
                  <wp:effectExtent b="0" l="0" r="0" t="0"/>
                  <wp:docPr id="7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0509" cy="24553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Permite cuantificar empíricamente el piso de ruido del sistema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Tamaño Muestral y Potencia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potencia </w:t>
            </w:r>
            <w:r w:rsidDel="00000000" w:rsidR="00000000" w:rsidRPr="00000000">
              <w:rPr>
                <w:rFonts w:ascii="Google Sans" w:cs="Google Sans" w:eastAsia="Google Sans" w:hAnsi="Google Sans"/>
                <w:i w:val="1"/>
                <w:iCs w:val="1"/>
                <w:color w:val="1f1f1f"/>
                <w:rtl w:val="0"/>
              </w:rPr>
              <w:t xml:space="preserve">a priori</w:t>
            </w:r>
            <w:r w:rsidDel="00000000" w:rsidR="00000000" w:rsidRPr="00000000">
              <w:rPr>
                <w:rFonts w:ascii="Google Sans" w:cs="Google Sans" w:eastAsia="Google Sans" w:hAnsi="Google Sans"/>
                <w:color w:val="1f1f1f"/>
                <w:rtl w:val="0"/>
              </w:rPr>
              <w:t xml:space="preserve"> fijando </w:t>
            </w:r>
            <w:r w:rsidDel="00000000" w:rsidR="00000000" w:rsidRPr="00000000">
              <w:rPr>
                <w:rFonts w:ascii="Google Sans" w:cs="Google Sans" w:eastAsia="Google Sans" w:hAnsi="Google Sans"/>
                <w:color w:val="1f1f1f"/>
              </w:rPr>
              <w:drawing>
                <wp:inline distB="19050" distT="19050" distL="19050" distR="19050">
                  <wp:extent cx="644723" cy="218068"/>
                  <wp:effectExtent b="0" l="0" r="0" t="0"/>
                  <wp:docPr id="77"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644723" cy="2180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649039" cy="219528"/>
                  <wp:effectExtent b="0" l="0" r="0" t="0"/>
                  <wp:docPr id="78" name="image47.png"/>
                  <a:graphic>
                    <a:graphicData uri="http://schemas.openxmlformats.org/drawingml/2006/picture">
                      <pic:pic>
                        <pic:nvPicPr>
                          <pic:cNvPr id="0" name="image47.png"/>
                          <pic:cNvPicPr preferRelativeResize="0"/>
                        </pic:nvPicPr>
                        <pic:blipFill>
                          <a:blip r:embed="rId20"/>
                          <a:srcRect b="0" l="0" r="0" t="0"/>
                          <a:stretch>
                            <a:fillRect/>
                          </a:stretch>
                        </pic:blipFill>
                        <pic:spPr>
                          <a:xfrm>
                            <a:off x="0" y="0"/>
                            <a:ext cx="649039" cy="219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Garantiza que el </w:t>
            </w:r>
            <w:r w:rsidDel="00000000" w:rsidR="00000000" w:rsidRPr="00000000">
              <w:rPr>
                <w:rFonts w:ascii="Google Sans" w:cs="Google Sans" w:eastAsia="Google Sans" w:hAnsi="Google Sans"/>
                <w:color w:val="1f1f1f"/>
              </w:rPr>
              <w:drawing>
                <wp:inline distB="19050" distT="19050" distL="19050" distR="19050">
                  <wp:extent cx="462706" cy="236075"/>
                  <wp:effectExtent b="0" l="0" r="0" t="0"/>
                  <wp:docPr id="7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2706" cy="236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sea estrictamente menor que el delta esperado entre intervenciones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Prevalencia de Reporte de Intervalos de Confianza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Revisiones sistemáticas en conferencias de ACL e IEEE indican que menos del 15% de los artículos de </w:t>
      </w:r>
      <w:r w:rsidDel="00000000" w:rsidR="00000000" w:rsidRPr="00000000">
        <w:rPr>
          <w:rFonts w:ascii="Google Sans" w:cs="Google Sans" w:eastAsia="Google Sans" w:hAnsi="Google Sans"/>
          <w:i w:val="1"/>
          <w:iCs w:val="1"/>
          <w:color w:val="1f1f1f"/>
          <w:rtl w:val="0"/>
        </w:rPr>
        <w:t xml:space="preserve">prompt engineering</w:t>
      </w:r>
      <w:r w:rsidDel="00000000" w:rsidR="00000000" w:rsidRPr="00000000">
        <w:rPr>
          <w:rFonts w:ascii="Google Sans" w:cs="Google Sans" w:eastAsia="Google Sans" w:hAnsi="Google Sans"/>
          <w:color w:val="1f1f1f"/>
          <w:rtl w:val="0"/>
        </w:rPr>
        <w:t xml:space="preserve"> reportan intervalos de confianza, desviaciones estándar multirun o pruebas de significación pareadas con corrección por multiplicidad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gran mayoría de los trabajos continúa reportando una única ejecución a </w:t>
      </w:r>
      <w:r w:rsidDel="00000000" w:rsidR="00000000" w:rsidRPr="00000000">
        <w:rPr>
          <w:rFonts w:ascii="Google Sans" w:cs="Google Sans" w:eastAsia="Google Sans" w:hAnsi="Google Sans"/>
          <w:color w:val="1f1f1f"/>
        </w:rPr>
        <w:drawing>
          <wp:inline distB="19050" distT="19050" distL="19050" distR="19050">
            <wp:extent cx="500509" cy="245533"/>
            <wp:effectExtent b="0" l="0" r="0" t="0"/>
            <wp:docPr id="3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0509" cy="245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asumiendo un determinismo espurio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 3: Acuerdo Entre Anotadores para Grafos</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Medición de Acuerdo en Estructuras de Grafo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coeficiente Kappa de Fleiss o de Cohen asume un conjunto fijo de ítems clasificados en categorías discretas predefinidas. En grafos dirigidos donde el número y la identidad de los vértices (</w:t>
      </w:r>
      <w:r w:rsidDel="00000000" w:rsidR="00000000" w:rsidRPr="00000000">
        <w:rPr>
          <w:rFonts w:ascii="Google Sans" w:cs="Google Sans" w:eastAsia="Google Sans" w:hAnsi="Google Sans"/>
          <w:color w:val="1f1f1f"/>
        </w:rPr>
        <w:drawing>
          <wp:inline distB="19050" distT="19050" distL="19050" distR="19050">
            <wp:extent cx="139155" cy="213370"/>
            <wp:effectExtent b="0" l="0" r="0" t="0"/>
            <wp:docPr id="3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39155" cy="213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las aristas (</w:t>
      </w:r>
      <w:r w:rsidDel="00000000" w:rsidR="00000000" w:rsidRPr="00000000">
        <w:rPr>
          <w:rFonts w:ascii="Google Sans" w:cs="Google Sans" w:eastAsia="Google Sans" w:hAnsi="Google Sans"/>
          <w:color w:val="1f1f1f"/>
        </w:rPr>
        <w:drawing>
          <wp:inline distB="19050" distT="19050" distL="19050" distR="19050">
            <wp:extent cx="155823" cy="253213"/>
            <wp:effectExtent b="0" l="0" r="0" t="0"/>
            <wp:docPr id="37" name="image34.png"/>
            <a:graphic>
              <a:graphicData uri="http://schemas.openxmlformats.org/drawingml/2006/picture">
                <pic:pic>
                  <pic:nvPicPr>
                    <pic:cNvPr id="0" name="image34.png"/>
                    <pic:cNvPicPr preferRelativeResize="0"/>
                  </pic:nvPicPr>
                  <pic:blipFill>
                    <a:blip r:embed="rId22"/>
                    <a:srcRect b="0" l="0" r="0" t="0"/>
                    <a:stretch>
                      <a:fillRect/>
                    </a:stretch>
                  </pic:blipFill>
                  <pic:spPr>
                    <a:xfrm>
                      <a:off x="0" y="0"/>
                      <a:ext cx="155823" cy="2532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varían libremente entre anotadores, este supuesto colapsa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cuantificar el acuerdo inter-anotador en grafos, la literatura especializada recurre a los siguientes métodos:</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Métrica Smatch (Semantic Match)</w:t>
      </w:r>
      <w:r w:rsidDel="00000000" w:rsidR="00000000" w:rsidRPr="00000000">
        <w:rPr>
          <w:rFonts w:ascii="Google Sans" w:cs="Google Sans" w:eastAsia="Google Sans" w:hAnsi="Google Sans"/>
          <w:color w:val="1f1f1f"/>
          <w:rtl w:val="0"/>
        </w:rPr>
        <w:t xml:space="preserve">: Desarrollada por Cai y Knight (ACL 2013) para </w:t>
      </w:r>
      <w:r w:rsidDel="00000000" w:rsidR="00000000" w:rsidRPr="00000000">
        <w:rPr>
          <w:rFonts w:ascii="Google Sans" w:cs="Google Sans" w:eastAsia="Google Sans" w:hAnsi="Google Sans"/>
          <w:i w:val="1"/>
          <w:iCs w:val="1"/>
          <w:color w:val="1f1f1f"/>
          <w:rtl w:val="0"/>
        </w:rPr>
        <w:t xml:space="preserve">Abstract Meaning Representation</w:t>
      </w:r>
      <w:r w:rsidDel="00000000" w:rsidR="00000000" w:rsidRPr="00000000">
        <w:rPr>
          <w:rFonts w:ascii="Google Sans" w:cs="Google Sans" w:eastAsia="Google Sans" w:hAnsi="Google Sans"/>
          <w:color w:val="1f1f1f"/>
          <w:rtl w:val="0"/>
        </w:rPr>
        <w:t xml:space="preserve"> (AMR), plantea el acuerdo como la búsqueda de una alineación biyectiva óptima de nodos que maximiza el solapamiento de tripletas lógicas </w:t>
      </w:r>
      <w:r w:rsidDel="00000000" w:rsidR="00000000" w:rsidRPr="00000000">
        <w:rPr>
          <w:rFonts w:ascii="Google Sans" w:cs="Google Sans" w:eastAsia="Google Sans" w:hAnsi="Google Sans"/>
          <w:color w:val="1f1f1f"/>
        </w:rPr>
        <w:drawing>
          <wp:inline distB="19050" distT="19050" distL="19050" distR="19050">
            <wp:extent cx="2124523" cy="238175"/>
            <wp:effectExtent b="0" l="0" r="0" t="0"/>
            <wp:docPr id="3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2124523" cy="23817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Se resuelve de forma exacta mediante Programación Lineal Entera (ILP) o con heurísticas de escalada (</w:t>
      </w:r>
      <w:r w:rsidDel="00000000" w:rsidR="00000000" w:rsidRPr="00000000">
        <w:rPr>
          <w:rFonts w:ascii="Google Sans" w:cs="Google Sans" w:eastAsia="Google Sans" w:hAnsi="Google Sans"/>
          <w:i w:val="1"/>
          <w:iCs w:val="1"/>
          <w:color w:val="1f1f1f"/>
          <w:rtl w:val="0"/>
        </w:rPr>
        <w:t xml:space="preserve">hill-climbing</w:t>
      </w:r>
      <w:r w:rsidDel="00000000" w:rsidR="00000000" w:rsidRPr="00000000">
        <w:rPr>
          <w:rFonts w:ascii="Google Sans" w:cs="Google Sans" w:eastAsia="Google Sans" w:hAnsi="Google Sans"/>
          <w:color w:val="1f1f1f"/>
          <w:rtl w:val="0"/>
        </w:rPr>
        <w:t xml:space="preserve">), obteniendo una puntuación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4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concordancia estructural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Distancia de Edición de Grafos Normalizada (GED)</w:t>
      </w:r>
      <w:r w:rsidDel="00000000" w:rsidR="00000000" w:rsidRPr="00000000">
        <w:rPr>
          <w:rFonts w:ascii="Google Sans" w:cs="Google Sans" w:eastAsia="Google Sans" w:hAnsi="Google Sans"/>
          <w:color w:val="1f1f1f"/>
          <w:rtl w:val="0"/>
        </w:rPr>
        <w:t xml:space="preserve">: Mide el costo mínimo de operaciones de inserción, eliminación y sustitución de nodos y aristas para transformar un grafo en otro.</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Kappa sobre Matriz de Adyacencia Alineada</w:t>
      </w:r>
      <w:r w:rsidDel="00000000" w:rsidR="00000000" w:rsidRPr="00000000">
        <w:rPr>
          <w:rFonts w:ascii="Google Sans" w:cs="Google Sans" w:eastAsia="Google Sans" w:hAnsi="Google Sans"/>
          <w:color w:val="1f1f1f"/>
          <w:rtl w:val="0"/>
        </w:rPr>
        <w:t xml:space="preserve">: Tras mapear los nodos a un vocabulario canónico compartido (por ejemplo, el catálogo cerrado de servicios AWS), se computa Kappa sobre las celdas de la matriz de adyacencia binaria </w:t>
      </w:r>
      <w:r w:rsidDel="00000000" w:rsidR="00000000" w:rsidRPr="00000000">
        <w:rPr>
          <w:rFonts w:ascii="Google Sans" w:cs="Google Sans" w:eastAsia="Google Sans" w:hAnsi="Google Sans"/>
          <w:color w:val="1f1f1f"/>
        </w:rPr>
        <w:drawing>
          <wp:inline distB="19050" distT="19050" distL="19050" distR="19050">
            <wp:extent cx="596503" cy="246176"/>
            <wp:effectExtent b="0" l="0" r="0" t="0"/>
            <wp:docPr id="4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596503" cy="2461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cada celda representa la decisión fija de existencia o ausencia de una conexión dirigida.</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Solución de Eismann et al. (IEEE TSE 2021)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w:t>
      </w:r>
      <w:r w:rsidDel="00000000" w:rsidR="00000000" w:rsidRPr="00000000">
        <w:rPr>
          <w:rFonts w:ascii="Google Sans" w:cs="Google Sans" w:eastAsia="Google Sans" w:hAnsi="Google Sans"/>
          <w:i w:val="1"/>
          <w:iCs w:val="1"/>
          <w:color w:val="1f1f1f"/>
          <w:rtl w:val="0"/>
        </w:rPr>
        <w:t xml:space="preserve">"The State of Serverless Applications: Collection, Characterization, and Community Consensus"</w:t>
      </w:r>
      <w:r w:rsidDel="00000000" w:rsidR="00000000" w:rsidRPr="00000000">
        <w:rPr>
          <w:rFonts w:ascii="Google Sans" w:cs="Google Sans" w:eastAsia="Google Sans" w:hAnsi="Google Sans"/>
          <w:color w:val="1f1f1f"/>
          <w:rtl w:val="0"/>
        </w:rPr>
        <w:t xml:space="preserve">, Eismann et al. (2021) resolvieron la evaluación de acuerdo evitando la comparación topológica directa de grafos [YA PUBLICADO]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estudio descompuso 89 aplicaciones serverless en una matriz de 22 características estructuradas (tales como tipo de base de datos, lenguaje de programación y patrones de flujo síncrono/asíncrono)</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La unidad de análisis (</w:t>
      </w:r>
      <w:r w:rsidDel="00000000" w:rsidR="00000000" w:rsidRPr="00000000">
        <w:rPr>
          <w:rFonts w:ascii="Google Sans" w:cs="Google Sans" w:eastAsia="Google Sans" w:hAnsi="Google Sans"/>
          <w:i w:val="1"/>
          <w:iCs w:val="1"/>
          <w:color w:val="1f1f1f"/>
          <w:rtl w:val="0"/>
        </w:rPr>
        <w:t xml:space="preserve">ítem</w:t>
      </w:r>
      <w:r w:rsidDel="00000000" w:rsidR="00000000" w:rsidRPr="00000000">
        <w:rPr>
          <w:rFonts w:ascii="Google Sans" w:cs="Google Sans" w:eastAsia="Google Sans" w:hAnsi="Google Sans"/>
          <w:color w:val="1f1f1f"/>
          <w:rtl w:val="0"/>
        </w:rPr>
        <w:t xml:space="preserve">) fue el par </w:t>
      </w:r>
      <w:r w:rsidDel="00000000" w:rsidR="00000000" w:rsidRPr="00000000">
        <w:rPr>
          <w:rFonts w:ascii="Google Sans" w:cs="Google Sans" w:eastAsia="Google Sans" w:hAnsi="Google Sans"/>
          <w:color w:val="1f1f1f"/>
        </w:rPr>
        <w:drawing>
          <wp:inline distB="19050" distT="19050" distL="19050" distR="19050">
            <wp:extent cx="2222154" cy="238429"/>
            <wp:effectExtent b="0" l="0" r="0" t="0"/>
            <wp:docPr id="45"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2222154" cy="23842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Dos revisores independientes anotaron cada aplicación y reportaron un coeficiente global de Fleiss' </w:t>
      </w:r>
      <w:r w:rsidDel="00000000" w:rsidR="00000000" w:rsidRPr="00000000">
        <w:rPr>
          <w:rFonts w:ascii="Google Sans" w:cs="Google Sans" w:eastAsia="Google Sans" w:hAnsi="Google Sans"/>
          <w:color w:val="1f1f1f"/>
        </w:rPr>
        <w:drawing>
          <wp:inline distB="19050" distT="19050" distL="19050" distR="19050">
            <wp:extent cx="722263" cy="247090"/>
            <wp:effectExtent b="0" l="0" r="0" t="0"/>
            <wp:docPr id="46"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722263" cy="247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representativo de un "acuerdo moderado" según Landis y Koch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Las divergencias restantes fueron resueltas mediante sesiones directas de discusión y consenso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Referencias de Acuerdo en Arquitecturas y Diagramas de Software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ingeniería de software empírica, la extracción manual de diagramas y componentes arquitectónicos reporta valores de Kappa situados entre </w:t>
      </w:r>
      <w:r w:rsidDel="00000000" w:rsidR="00000000" w:rsidRPr="00000000">
        <w:rPr>
          <w:rFonts w:ascii="Google Sans" w:cs="Google Sans" w:eastAsia="Google Sans" w:hAnsi="Google Sans"/>
          <w:color w:val="1f1f1f"/>
        </w:rPr>
        <w:drawing>
          <wp:inline distB="19050" distT="19050" distL="19050" distR="19050">
            <wp:extent cx="722263" cy="247090"/>
            <wp:effectExtent b="0" l="0" r="0" t="0"/>
            <wp:docPr id="47"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722263" cy="247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722263" cy="247090"/>
            <wp:effectExtent b="0" l="0" r="0" t="0"/>
            <wp:docPr id="48"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722263" cy="247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la literatura de análisis de diagramas UML y parsing de grafos semánticos, el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13"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Smatch entre anotadores humanos oscila habitualmente entre </w:t>
      </w:r>
      <w:r w:rsidDel="00000000" w:rsidR="00000000" w:rsidRPr="00000000">
        <w:rPr>
          <w:rFonts w:ascii="Google Sans" w:cs="Google Sans" w:eastAsia="Google Sans" w:hAnsi="Google Sans"/>
          <w:color w:val="1f1f1f"/>
        </w:rPr>
        <w:drawing>
          <wp:inline distB="19050" distT="19050" distL="19050" distR="19050">
            <wp:extent cx="348258" cy="235309"/>
            <wp:effectExtent b="0" l="0" r="0" t="0"/>
            <wp:docPr id="1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348258" cy="2353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348258" cy="235309"/>
            <wp:effectExtent b="0" l="0" r="0" t="0"/>
            <wp:docPr id="17"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48258" cy="23530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Por consiguiente, un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1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aristas del 59% obtenido por un modelo automatizado se encuentra relativamente cercano a la variabilidad basal observada entre evaluadores humanos en tareas no restringidas.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Cloudscape y Santillán &amp; Abad (2025)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publicación de Cloudscape (Satija et al., USENIX FAST 2025, </w:t>
      </w:r>
      <w:r w:rsidDel="00000000" w:rsidR="00000000" w:rsidRPr="00000000">
        <w:rPr>
          <w:rFonts w:ascii="Google Sans" w:cs="Google Sans" w:eastAsia="Google Sans" w:hAnsi="Google Sans"/>
          <w:i w:val="1"/>
          <w:iCs w:val="1"/>
          <w:color w:val="1f1f1f"/>
          <w:rtl w:val="0"/>
        </w:rPr>
        <w:t xml:space="preserve">"Cloudscape: A Study of Storage Services in Modern Cloud Architectures"</w:t>
      </w:r>
      <w:r w:rsidDel="00000000" w:rsidR="00000000" w:rsidRPr="00000000">
        <w:rPr>
          <w:rFonts w:ascii="Google Sans" w:cs="Google Sans" w:eastAsia="Google Sans" w:hAnsi="Google Sans"/>
          <w:color w:val="1f1f1f"/>
          <w:rtl w:val="0"/>
        </w:rPr>
        <w:t xml:space="preserve">), los autores anotaron 396 grafos de arquitecturas AWS a partir de videos mediante un proceso iterativo de curación y consenso cualitativo entre investigadores de la Universidad de Wisconsin-Madison y NetApp, sin reportar coeficientes formales de Cohen/Fleiss Kappa o métricas Smatch globales sobre las aristas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su parte, Santillán y Abad (IEEE IC2E / HotCloudPerf 2025, </w:t>
      </w:r>
      <w:r w:rsidDel="00000000" w:rsidR="00000000" w:rsidRPr="00000000">
        <w:rPr>
          <w:rFonts w:ascii="Google Sans" w:cs="Google Sans" w:eastAsia="Google Sans" w:hAnsi="Google Sans"/>
          <w:i w:val="1"/>
          <w:iCs w:val="1"/>
          <w:color w:val="1f1f1f"/>
          <w:rtl w:val="0"/>
        </w:rPr>
        <w:t xml:space="preserve">"An Analysis of HPC and Edge Architectures in the Cloud"</w:t>
      </w:r>
      <w:r w:rsidDel="00000000" w:rsidR="00000000" w:rsidRPr="00000000">
        <w:rPr>
          <w:rFonts w:ascii="Google Sans" w:cs="Google Sans" w:eastAsia="Google Sans" w:hAnsi="Google Sans"/>
          <w:color w:val="1f1f1f"/>
          <w:rtl w:val="0"/>
        </w:rPr>
        <w:t xml:space="preserve">) enriquecieron dicho dataset incorporando fechas de publicación y taxonomías de dominio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Analizada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Métricas y Datos Publicados por Santillán &amp; Abad (2025)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Segmentación del Dataset (</w:t>
            </w:r>
            <w:r w:rsidDel="00000000" w:rsidR="00000000" w:rsidRPr="00000000">
              <w:rPr>
                <w:rFonts w:ascii="Google Sans" w:cs="Google Sans" w:eastAsia="Google Sans" w:hAnsi="Google Sans"/>
                <w:b w:val="1"/>
                <w:bCs w:val="1"/>
                <w:color w:val="1f1f1f"/>
              </w:rPr>
              <w:drawing>
                <wp:inline distB="19050" distT="19050" distL="19050" distR="19050">
                  <wp:extent cx="647253" cy="218924"/>
                  <wp:effectExtent b="0" l="0" r="0" t="0"/>
                  <wp:docPr id="21"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647253" cy="21892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HPC: 14 arquitecturas (3.5%)</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Edge: 97 arquitecturas (24.5%)</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HPC+Edge: 4 arquitecturas (1.0%)</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None (otros dominios): 281 arquitecturas (71.0%)</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Prevalencia de Almacenamiento (RQ3)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S3</w:t>
            </w:r>
            <w:r w:rsidDel="00000000" w:rsidR="00000000" w:rsidRPr="00000000">
              <w:rPr>
                <w:rFonts w:ascii="Google Sans" w:cs="Google Sans" w:eastAsia="Google Sans" w:hAnsi="Google Sans"/>
                <w:color w:val="1f1f1f"/>
                <w:rtl w:val="0"/>
              </w:rPr>
              <w:t xml:space="preserve">: 73% en HPC, 76% en Edge, 60% en None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Sistemas de archivos (FSx, EFS)</w:t>
            </w:r>
            <w:r w:rsidDel="00000000" w:rsidR="00000000" w:rsidRPr="00000000">
              <w:rPr>
                <w:rFonts w:ascii="Google Sans" w:cs="Google Sans" w:eastAsia="Google Sans" w:hAnsi="Google Sans"/>
                <w:color w:val="1f1f1f"/>
                <w:rtl w:val="0"/>
              </w:rPr>
              <w:t xml:space="preserve">: 55% en HPC, 1% en Edge, 1% en None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Bases NoSQL (DynamoDB)</w:t>
            </w:r>
            <w:r w:rsidDel="00000000" w:rsidR="00000000" w:rsidRPr="00000000">
              <w:rPr>
                <w:rFonts w:ascii="Google Sans" w:cs="Google Sans" w:eastAsia="Google Sans" w:hAnsi="Google Sans"/>
                <w:color w:val="1f1f1f"/>
                <w:rtl w:val="0"/>
              </w:rPr>
              <w:t xml:space="preserve">: 36% en HPC, 50% en Edge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Bases SQL (RDS)</w:t>
            </w:r>
            <w:r w:rsidDel="00000000" w:rsidR="00000000" w:rsidRPr="00000000">
              <w:rPr>
                <w:rFonts w:ascii="Google Sans" w:cs="Google Sans" w:eastAsia="Google Sans" w:hAnsi="Google Sans"/>
                <w:color w:val="1f1f1f"/>
                <w:rtl w:val="0"/>
              </w:rPr>
              <w:t xml:space="preserve">: 27% en HPC, 29% en Edge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Servicios e Interacciones (RQ1-RQ2)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Coocurrencia frecuente de AWS Batch y FSx con EC2, Lambda y EKS en HPC; uso dominante de CloudFront e IoT Core en topologías Edge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Complejidad Arquitectónica (RQ7)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Cuantificación del grado por nodo (servicios utilizados) y número de flujos/workflows concurrentes etiquetados por color y secuencia numérica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 4: Alternativas al Prompt Engineering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las modificaciones textuales del prompt no logran superar el piso de ruido, la literatura de extracción estructurada documenta diversas intervenciones a nivel de arquitectura y pipeline: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Metodológico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Descripción del Procedimiento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Ganancia Reportada en Extracción Estructurada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Costo de Implementación y Cómputo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Self-Consistency / Graph Voting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Muestreo de </w:t>
            </w:r>
            <w:r w:rsidDel="00000000" w:rsidR="00000000" w:rsidRPr="00000000">
              <w:rPr>
                <w:rFonts w:ascii="Google Sans" w:cs="Google Sans" w:eastAsia="Google Sans" w:hAnsi="Google Sans"/>
                <w:color w:val="1f1f1f"/>
              </w:rPr>
              <w:drawing>
                <wp:inline distB="19050" distT="19050" distL="19050" distR="19050">
                  <wp:extent cx="95399" cy="219417"/>
                  <wp:effectExtent b="0" l="0" r="0" t="0"/>
                  <wp:docPr id="23"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95399" cy="219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generaciones (</w:t>
            </w:r>
            <w:r w:rsidDel="00000000" w:rsidR="00000000" w:rsidRPr="00000000">
              <w:rPr>
                <w:rFonts w:ascii="Google Sans" w:cs="Google Sans" w:eastAsia="Google Sans" w:hAnsi="Google Sans"/>
                <w:color w:val="1f1f1f"/>
              </w:rPr>
              <w:drawing>
                <wp:inline distB="19050" distT="19050" distL="19050" distR="19050">
                  <wp:extent cx="441870" cy="220935"/>
                  <wp:effectExtent b="0" l="0" r="0" t="0"/>
                  <wp:docPr id="24"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41870" cy="220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agregación estructural: una arista </w:t>
            </w:r>
            <w:r w:rsidDel="00000000" w:rsidR="00000000" w:rsidRPr="00000000">
              <w:rPr>
                <w:rFonts w:ascii="Google Sans" w:cs="Google Sans" w:eastAsia="Google Sans" w:hAnsi="Google Sans"/>
                <w:color w:val="1f1f1f"/>
              </w:rPr>
              <w:drawing>
                <wp:inline distB="19050" distT="19050" distL="19050" distR="19050">
                  <wp:extent cx="400347" cy="219238"/>
                  <wp:effectExtent b="0" l="0" r="0" t="0"/>
                  <wp:docPr id="25"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400347" cy="219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conserva si aparece en al menos </w:t>
            </w:r>
            <w:r w:rsidDel="00000000" w:rsidR="00000000" w:rsidRPr="00000000">
              <w:rPr>
                <w:rFonts w:ascii="Google Sans" w:cs="Google Sans" w:eastAsia="Google Sans" w:hAnsi="Google Sans"/>
                <w:color w:val="1f1f1f"/>
              </w:rPr>
              <w:drawing>
                <wp:inline distB="19050" distT="19050" distL="19050" distR="19050">
                  <wp:extent cx="468958" cy="220123"/>
                  <wp:effectExtent b="0" l="0" r="0" t="0"/>
                  <wp:docPr id="26"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68958" cy="2201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repeticiones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 selección del grafo medoid mediante distancia Smatch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21010" cy="211400"/>
                  <wp:effectExtent b="0" l="0" r="0" t="0"/>
                  <wp:docPr id="27"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221010" cy="211400"/>
                  <wp:effectExtent b="0" l="0" r="0" t="0"/>
                  <wp:docPr id="1"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puntos de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 consistencia de relaciones; reducción sistemática de aristas espurias.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Multiplica el costo de inferencia por </w:t>
            </w:r>
            <w:r w:rsidDel="00000000" w:rsidR="00000000" w:rsidRPr="00000000">
              <w:rPr>
                <w:rFonts w:ascii="Google Sans" w:cs="Google Sans" w:eastAsia="Google Sans" w:hAnsi="Google Sans"/>
                <w:color w:val="1f1f1f"/>
              </w:rPr>
              <w:drawing>
                <wp:inline distB="19050" distT="19050" distL="19050" distR="19050">
                  <wp:extent cx="95399" cy="219417"/>
                  <wp:effectExtent b="0" l="0" r="0" t="0"/>
                  <wp:docPr id="3"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95399" cy="219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38783" cy="217846"/>
                  <wp:effectExtent b="0" l="0" r="0" t="0"/>
                  <wp:docPr id="4"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738783" cy="217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Implementación sencilla sin entrenamiento.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Fine-Tuning Ligero (LoRA / QLoRA)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Adaptación de bajo rango sobre un modelo multimodal abierto (por ejemplo, Qwen-2.5-VL) utilizando 250–300 pares </w:t>
            </w:r>
            <w:r w:rsidDel="00000000" w:rsidR="00000000" w:rsidRPr="00000000">
              <w:rPr>
                <w:rFonts w:ascii="Google Sans" w:cs="Google Sans" w:eastAsia="Google Sans" w:hAnsi="Google Sans"/>
                <w:color w:val="1f1f1f"/>
              </w:rPr>
              <w:drawing>
                <wp:inline distB="19050" distT="19050" distL="19050" distR="19050">
                  <wp:extent cx="2703909" cy="209458"/>
                  <wp:effectExtent b="0" l="0" r="0" 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2703909" cy="2094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7330" cy="211289"/>
                  <wp:effectExtent b="0" l="0" r="0" t="0"/>
                  <wp:docPr id="6"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307330" cy="211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07330" cy="211289"/>
                  <wp:effectExtent b="0" l="0" r="0" t="0"/>
                  <wp:docPr id="7"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307330" cy="211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puntos de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8"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Elimina alucinaciones de formato y fuerza el vocabulario canónico de servicios.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Requiere infraestructura GPU dedicada (A100/H100) y armado del pipeline de serialización. Factible con </w:t>
            </w:r>
            <w:r w:rsidDel="00000000" w:rsidR="00000000" w:rsidRPr="00000000">
              <w:rPr>
                <w:rFonts w:ascii="Google Sans" w:cs="Google Sans" w:eastAsia="Google Sans" w:hAnsi="Google Sans"/>
                <w:color w:val="1f1f1f"/>
              </w:rPr>
              <w:drawing>
                <wp:inline distB="19050" distT="19050" distL="19050" distR="19050">
                  <wp:extent cx="441722" cy="211258"/>
                  <wp:effectExtent b="0" l="0" r="0" t="0"/>
                  <wp:docPr id="9"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441722" cy="2112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ejemplos.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Descomposición: Node Detection + Pairwise Edge 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desacoplado: la Etapa 1 identifica el conjunto de nodos </w:t>
            </w:r>
            <w:r w:rsidDel="00000000" w:rsidR="00000000" w:rsidRPr="00000000">
              <w:rPr>
                <w:rFonts w:ascii="Google Sans" w:cs="Google Sans" w:eastAsia="Google Sans" w:hAnsi="Google Sans"/>
                <w:color w:val="1f1f1f"/>
              </w:rPr>
              <w:drawing>
                <wp:inline distB="19050" distT="19050" distL="19050" distR="19050">
                  <wp:extent cx="139155" cy="213370"/>
                  <wp:effectExtent b="0" l="0" r="0" t="0"/>
                  <wp:docPr id="10"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39155" cy="213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Etapa 2 clasifica individualmente la conectividad y dirección para cada par candidato </w:t>
            </w:r>
            <w:r w:rsidDel="00000000" w:rsidR="00000000" w:rsidRPr="00000000">
              <w:rPr>
                <w:rFonts w:ascii="Google Sans" w:cs="Google Sans" w:eastAsia="Google Sans" w:hAnsi="Google Sans"/>
                <w:color w:val="1f1f1f"/>
              </w:rPr>
              <w:drawing>
                <wp:inline distB="19050" distT="19050" distL="19050" distR="19050">
                  <wp:extent cx="1101176" cy="218337"/>
                  <wp:effectExtent b="0" l="0" r="0" t="0"/>
                  <wp:docPr id="55" name="image32.png"/>
                  <a:graphic>
                    <a:graphicData uri="http://schemas.openxmlformats.org/drawingml/2006/picture">
                      <pic:pic>
                        <pic:nvPicPr>
                          <pic:cNvPr id="0" name="image32.png"/>
                          <pic:cNvPicPr preferRelativeResize="0"/>
                        </pic:nvPicPr>
                        <pic:blipFill>
                          <a:blip r:embed="rId44"/>
                          <a:srcRect b="0" l="0" r="0" t="0"/>
                          <a:stretch>
                            <a:fillRect/>
                          </a:stretch>
                        </pic:blipFill>
                        <pic:spPr>
                          <a:xfrm>
                            <a:off x="0" y="0"/>
                            <a:ext cx="1101176" cy="2183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7330" cy="211289"/>
                  <wp:effectExtent b="0" l="0" r="0" t="0"/>
                  <wp:docPr id="58"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307330" cy="211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07330" cy="211289"/>
                  <wp:effectExtent b="0" l="0" r="0" t="0"/>
                  <wp:docPr id="59" name="image54.png"/>
                  <a:graphic>
                    <a:graphicData uri="http://schemas.openxmlformats.org/drawingml/2006/picture">
                      <pic:pic>
                        <pic:nvPicPr>
                          <pic:cNvPr id="0" name="image54.png"/>
                          <pic:cNvPicPr preferRelativeResize="0"/>
                        </pic:nvPicPr>
                        <pic:blipFill>
                          <a:blip r:embed="rId46"/>
                          <a:srcRect b="0" l="0" r="0" t="0"/>
                          <a:stretch>
                            <a:fillRect/>
                          </a:stretch>
                        </pic:blipFill>
                        <pic:spPr>
                          <a:xfrm>
                            <a:off x="0" y="0"/>
                            <a:ext cx="307330" cy="211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puntos de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6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sobre la generación monolítica en tareas densas de relación.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Incrementa las llamadas al modelo (</w:t>
            </w:r>
            <w:r w:rsidDel="00000000" w:rsidR="00000000" w:rsidRPr="00000000">
              <w:rPr>
                <w:rFonts w:ascii="Google Sans" w:cs="Google Sans" w:eastAsia="Google Sans" w:hAnsi="Google Sans"/>
                <w:color w:val="1f1f1f"/>
              </w:rPr>
              <w:drawing>
                <wp:inline distB="19050" distT="19050" distL="19050" distR="19050">
                  <wp:extent cx="652314" cy="220636"/>
                  <wp:effectExtent b="0" l="0" r="0" t="0"/>
                  <wp:docPr id="64"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652314" cy="220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reducible mediante poda de adyacencia visual), pero simplifica el espacio de búsqueda por llamada.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Modelo Verificador / Reranker (Segunda Pasada)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modelo crítico en segunda pasada recibe el frame, la transcripción y el grafo candidato, ejecutando una verificación explícita de aristas dudosas y consistencia direccional.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21010" cy="211400"/>
                  <wp:effectExtent b="0" l="0" r="0" t="0"/>
                  <wp:docPr id="66"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221010" cy="211400"/>
                  <wp:effectExtent b="0" l="0" r="0" t="0"/>
                  <wp:docPr id="69"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221010" cy="2114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puntos de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7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Mitiga falsos positivos derivados de asociaciones puramente textuales.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Duplica el tiempo y costo de inferencia por diagrama; requiere diseñar reglas de corrección ante discrepancias.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Escalado de Capacidad (Flash a Pro/Max)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Sustitución de modelos optimizados para latencia (Gemini Flash, GPT-4o-mini) por modelos insignia con razonamiento visual profundo (Gemini Pro, Claude Sonnet, GPT-4o)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benchmark SADU (2026), los modelos avanzados superan a los modelos ligeros por más de 40–50 puntos de precisión en diagramas de arquitectura</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Aumento directo de 5x a 20x en costos de facturación de API por consulta.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Grounding Visual Especializado (Híbrido)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Extracción visual desacoplada: detección de flechas y orientación mediante modelos dedicados (Arrow R-CNN) combinados con OCR de alta resolución, inyectando la matriz topológica al LLM.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07330" cy="211289"/>
                  <wp:effectExtent b="0" l="0" r="0" t="0"/>
                  <wp:docPr id="73" name="image51.png"/>
                  <a:graphic>
                    <a:graphicData uri="http://schemas.openxmlformats.org/drawingml/2006/picture">
                      <pic:pic>
                        <pic:nvPicPr>
                          <pic:cNvPr id="0" name="image51.png"/>
                          <pic:cNvPicPr preferRelativeResize="0"/>
                        </pic:nvPicPr>
                        <pic:blipFill>
                          <a:blip r:embed="rId50"/>
                          <a:srcRect b="0" l="0" r="0" t="0"/>
                          <a:stretch>
                            <a:fillRect/>
                          </a:stretch>
                        </pic:blipFill>
                        <pic:spPr>
                          <a:xfrm>
                            <a:off x="0" y="0"/>
                            <a:ext cx="307330" cy="211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1f1f1f"/>
              </w:rPr>
              <w:drawing>
                <wp:inline distB="19050" distT="19050" distL="19050" distR="19050">
                  <wp:extent cx="307330" cy="211289"/>
                  <wp:effectExtent b="0" l="0" r="0" t="0"/>
                  <wp:docPr id="75" name="image45.png"/>
                  <a:graphic>
                    <a:graphicData uri="http://schemas.openxmlformats.org/drawingml/2006/picture">
                      <pic:pic>
                        <pic:nvPicPr>
                          <pic:cNvPr id="0" name="image45.png"/>
                          <pic:cNvPicPr preferRelativeResize="0"/>
                        </pic:nvPicPr>
                        <pic:blipFill>
                          <a:blip r:embed="rId51"/>
                          <a:srcRect b="0" l="0" r="0" t="0"/>
                          <a:stretch>
                            <a:fillRect/>
                          </a:stretch>
                        </pic:blipFill>
                        <pic:spPr>
                          <a:xfrm>
                            <a:off x="0" y="0"/>
                            <a:ext cx="307330" cy="211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puntos de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5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aristas en diagramas dibujados a mano con respecto a VLMs sin soporte geométrico.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Alta complejidad de desarrollo; requiere integrar pipelines de visión clásica/CNN con modelos de lenguaje.</w:t>
            </w:r>
          </w:p>
        </w:tc>
      </w:tr>
    </w:tbl>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 5: Trabajo Relacionado del Dominio</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Comprensión de Diagramas de Arquitectura con Modelos de Visión-Lenguaje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estado del arte en interpretación de diagramas de arquitectura de software fue formalizado por Zheng et al. (2026) mediante el benchmark </w:t>
      </w:r>
      <w:r w:rsidDel="00000000" w:rsidR="00000000" w:rsidRPr="00000000">
        <w:rPr>
          <w:rFonts w:ascii="Google Sans" w:cs="Google Sans" w:eastAsia="Google Sans" w:hAnsi="Google Sans"/>
          <w:b w:val="1"/>
          <w:bCs w:val="1"/>
          <w:color w:val="1f1f1f"/>
          <w:rtl w:val="0"/>
        </w:rPr>
        <w:t xml:space="preserve">SADU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Software Architecture Diagram Understanding</w:t>
      </w:r>
      <w:r w:rsidDel="00000000" w:rsidR="00000000" w:rsidRPr="00000000">
        <w:rPr>
          <w:rFonts w:ascii="Google Sans" w:cs="Google Sans" w:eastAsia="Google Sans" w:hAnsi="Google Sans"/>
          <w:color w:val="1f1f1f"/>
          <w:rtl w:val="0"/>
        </w:rPr>
        <w:t xml:space="preserve">) [YA PUBLICADO]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SADU evalúa modelos de visión-lenguaje frente a diagramas estructurales, de comportamiento y entidad-relación extraídos de entornos reales de desarrollo</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Los resultados demuestran que los modelos compactos presentan un rendimiento deficiente en relaciones complejas (GPT-4o-mini obtiene un 17.77% de exactitud, mientras que Gemini-3-Flash y Claude-Sonnet alcanzan entre 56.36% y 70.18%)</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dominio de ingeniería de software clásica, publicaciones recientes sobre generación y extracción de UML con GPT-4 (Cámara et al., 2023; MDPI, 2025) reportan niveles de completitud y corrección situados entre el 61% y el 67% en la reconstrucción de diagramas de clases, secuencias y despliegue a partir de especificaciones formales y bocetos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Reconocimiento de Diagramas Hechos a Mano (Sketch-to-Graph)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literatura de visión artificial para diagramas dibujados en pizarra (</w:t>
      </w:r>
      <w:r w:rsidDel="00000000" w:rsidR="00000000" w:rsidRPr="00000000">
        <w:rPr>
          <w:rFonts w:ascii="Google Sans" w:cs="Google Sans" w:eastAsia="Google Sans" w:hAnsi="Google Sans"/>
          <w:i w:val="1"/>
          <w:iCs w:val="1"/>
          <w:color w:val="1f1f1f"/>
          <w:rtl w:val="0"/>
        </w:rPr>
        <w:t xml:space="preserve">hand-drawn diagram recognition</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i w:val="1"/>
          <w:iCs w:val="1"/>
          <w:color w:val="1f1f1f"/>
          <w:rtl w:val="0"/>
        </w:rPr>
        <w:t xml:space="preserve">Sketch-to-Graph</w:t>
      </w:r>
      <w:r w:rsidDel="00000000" w:rsidR="00000000" w:rsidRPr="00000000">
        <w:rPr>
          <w:rFonts w:ascii="Google Sans" w:cs="Google Sans" w:eastAsia="Google Sans" w:hAnsi="Google Sans"/>
          <w:color w:val="1f1f1f"/>
          <w:rtl w:val="0"/>
        </w:rPr>
        <w:t xml:space="preserve">), la detección precisa de aristas dirigidas constituye el principal cuello de botella:</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Modelos basados en grafos sobre trazos vectoriales y detección de flechas (Arrow R-CNN, SketchGraphs, FC_GCN) obtienen un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3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detección de nodos de entre </w:t>
      </w:r>
      <w:r w:rsidDel="00000000" w:rsidR="00000000" w:rsidRPr="00000000">
        <w:rPr>
          <w:rFonts w:ascii="Google Sans" w:cs="Google Sans" w:eastAsia="Google Sans" w:hAnsi="Google Sans"/>
          <w:color w:val="1f1f1f"/>
        </w:rPr>
        <w:drawing>
          <wp:inline distB="19050" distT="19050" distL="19050" distR="19050">
            <wp:extent cx="359122" cy="236264"/>
            <wp:effectExtent b="0" l="0" r="0" t="0"/>
            <wp:docPr id="31"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359122"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359122" cy="236264"/>
            <wp:effectExtent b="0" l="0" r="0" t="0"/>
            <wp:docPr id="32" name="image22.png"/>
            <a:graphic>
              <a:graphicData uri="http://schemas.openxmlformats.org/drawingml/2006/picture">
                <pic:pic>
                  <pic:nvPicPr>
                    <pic:cNvPr id="0" name="image22.png"/>
                    <pic:cNvPicPr preferRelativeResize="0"/>
                  </pic:nvPicPr>
                  <pic:blipFill>
                    <a:blip r:embed="rId53"/>
                    <a:srcRect b="0" l="0" r="0" t="0"/>
                    <a:stretch>
                      <a:fillRect/>
                    </a:stretch>
                  </pic:blipFill>
                  <pic:spPr>
                    <a:xfrm>
                      <a:off x="0" y="0"/>
                      <a:ext cx="359122"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pero su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3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aristas (conectividad y dirección correctas) se sitúa históricamente entre el </w:t>
      </w:r>
      <w:r w:rsidDel="00000000" w:rsidR="00000000" w:rsidRPr="00000000">
        <w:rPr>
          <w:rFonts w:ascii="Google Sans" w:cs="Google Sans" w:eastAsia="Google Sans" w:hAnsi="Google Sans"/>
          <w:color w:val="1f1f1f"/>
        </w:rPr>
        <w:drawing>
          <wp:inline distB="19050" distT="19050" distL="19050" distR="19050">
            <wp:extent cx="359122" cy="236264"/>
            <wp:effectExtent b="0" l="0" r="0" t="0"/>
            <wp:docPr id="36" name="image26.png"/>
            <a:graphic>
              <a:graphicData uri="http://schemas.openxmlformats.org/drawingml/2006/picture">
                <pic:pic>
                  <pic:nvPicPr>
                    <pic:cNvPr id="0" name="image26.png"/>
                    <pic:cNvPicPr preferRelativeResize="0"/>
                  </pic:nvPicPr>
                  <pic:blipFill>
                    <a:blip r:embed="rId54"/>
                    <a:srcRect b="0" l="0" r="0" t="0"/>
                    <a:stretch>
                      <a:fillRect/>
                    </a:stretch>
                  </pic:blipFill>
                  <pic:spPr>
                    <a:xfrm>
                      <a:off x="0" y="0"/>
                      <a:ext cx="359122"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el </w:t>
      </w:r>
      <w:r w:rsidDel="00000000" w:rsidR="00000000" w:rsidRPr="00000000">
        <w:rPr>
          <w:rFonts w:ascii="Google Sans" w:cs="Google Sans" w:eastAsia="Google Sans" w:hAnsi="Google Sans"/>
          <w:color w:val="1f1f1f"/>
        </w:rPr>
        <w:drawing>
          <wp:inline distB="19050" distT="19050" distL="19050" distR="19050">
            <wp:extent cx="359122" cy="236264"/>
            <wp:effectExtent b="0" l="0" r="0" t="0"/>
            <wp:docPr id="38"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359122" cy="2362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sobre pizarras reales no estructuradas.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Obtener un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4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aristas del </w:t>
      </w:r>
      <w:r w:rsidDel="00000000" w:rsidR="00000000" w:rsidRPr="00000000">
        <w:rPr>
          <w:rFonts w:ascii="Google Sans" w:cs="Google Sans" w:eastAsia="Google Sans" w:hAnsi="Google Sans"/>
          <w:color w:val="1f1f1f"/>
        </w:rPr>
        <w:drawing>
          <wp:inline distB="19050" distT="19050" distL="19050" distR="19050">
            <wp:extent cx="565844" cy="239764"/>
            <wp:effectExtent b="0" l="0" r="0" t="0"/>
            <wp:docPr id="42" name="image25.png"/>
            <a:graphic>
              <a:graphicData uri="http://schemas.openxmlformats.org/drawingml/2006/picture">
                <pic:pic>
                  <pic:nvPicPr>
                    <pic:cNvPr id="0" name="image25.png"/>
                    <pic:cNvPicPr preferRelativeResize="0"/>
                  </pic:nvPicPr>
                  <pic:blipFill>
                    <a:blip r:embed="rId56"/>
                    <a:srcRect b="0" l="0" r="0" t="0"/>
                    <a:stretch>
                      <a:fillRect/>
                    </a:stretch>
                  </pic:blipFill>
                  <pic:spPr>
                    <a:xfrm>
                      <a:off x="0" y="0"/>
                      <a:ext cx="565844" cy="2397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partir de un fotograma de video ruidoso y una transcripción oral mediante un VLM generalista coincide con el rendimiento habitual del estado del arte para sistemas no entrenados específicamente con trazos vectoriales supervisados.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Benchmarks Establecidos de Extracción de Grafos Visuales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marcos de referencia sobre la complejidad de la tarea se destacan:</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SADU (2026)</w:t>
      </w:r>
      <w:r w:rsidDel="00000000" w:rsidR="00000000" w:rsidRPr="00000000">
        <w:rPr>
          <w:rFonts w:ascii="Google Sans" w:cs="Google Sans" w:eastAsia="Google Sans" w:hAnsi="Google Sans"/>
          <w:color w:val="1f1f1f"/>
          <w:rtl w:val="0"/>
        </w:rPr>
        <w:t xml:space="preserve">: Benchmark especializado en comprensión relacional de diagramas de arquitectura de software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SketchGraphs (ICML 2020)</w:t>
      </w:r>
      <w:r w:rsidDel="00000000" w:rsidR="00000000" w:rsidRPr="00000000">
        <w:rPr>
          <w:rFonts w:ascii="Google Sans" w:cs="Google Sans" w:eastAsia="Google Sans" w:hAnsi="Google Sans"/>
          <w:color w:val="1f1f1f"/>
          <w:rtl w:val="0"/>
        </w:rPr>
        <w:t xml:space="preserve">: Benchmark de extracción de grafos de restricciones geométricas a partir de bocetos CAD.</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DocILE (CVPR 2023)</w:t>
      </w:r>
      <w:r w:rsidDel="00000000" w:rsidR="00000000" w:rsidRPr="00000000">
        <w:rPr>
          <w:rFonts w:ascii="Google Sans" w:cs="Google Sans" w:eastAsia="Google Sans" w:hAnsi="Google Sans"/>
          <w:color w:val="1f1f1f"/>
          <w:rtl w:val="0"/>
        </w:rPr>
        <w:t xml:space="preserve">: Benchmark de extracción de estructuras y relaciones en documentos semi-estructurados complejos.</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AI2D / Diagram3D</w:t>
      </w:r>
      <w:r w:rsidDel="00000000" w:rsidR="00000000" w:rsidRPr="00000000">
        <w:rPr>
          <w:rFonts w:ascii="Google Sans" w:cs="Google Sans" w:eastAsia="Google Sans" w:hAnsi="Google Sans"/>
          <w:color w:val="1f1f1f"/>
          <w:rtl w:val="0"/>
        </w:rPr>
        <w:t xml:space="preserve">: Benchmarks de razonamiento semántico y relacional sobre diagramas visuales y esquemáticos.</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Bloque 6: Dictamen de Encuadre Académico</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de Opciones de Encuadre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bibliográfico y metodológico determina que la opción más sólida y defendible es el </w:t>
      </w:r>
      <w:r w:rsidDel="00000000" w:rsidR="00000000" w:rsidRPr="00000000">
        <w:rPr>
          <w:rFonts w:ascii="Google Sans" w:cs="Google Sans" w:eastAsia="Google Sans" w:hAnsi="Google Sans"/>
          <w:b w:val="1"/>
          <w:bCs w:val="1"/>
          <w:color w:val="1f1f1f"/>
          <w:rtl w:val="0"/>
        </w:rPr>
        <w:t xml:space="preserve">Encuadre (c): Conjunción entre estudio metodológico y aplicación de dominio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artículo enfocado exclusivamente en la aplicación (Opción A) se expone a valoraciones desfavorables por reportar resultados nulos en 11 variantes de prompt y un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4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aristas del 59% sin una solución técnica validada. Por su parte, un artículo puramente metodológico (Opción B) podría ser percibido como una confirmación incremental de Card et al. (2020) y Atil et al. (2024) si solo recurre a tareas sintéticas estándar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conjunción de ambos enfoques articula una propuesta robusta: emplea la extracción de diagramas de Cloudscape como un caso de estudio empírico de alta complejidad para exponer una deficiencia metodológica generalizada (la falta de potencia estadística en ablaciones de prompt frente al piso de ruido a </w:t>
      </w:r>
      <w:r w:rsidDel="00000000" w:rsidR="00000000" w:rsidRPr="00000000">
        <w:rPr>
          <w:rFonts w:ascii="Google Sans" w:cs="Google Sans" w:eastAsia="Google Sans" w:hAnsi="Google Sans"/>
          <w:color w:val="1f1f1f"/>
        </w:rPr>
        <w:drawing>
          <wp:inline distB="19050" distT="19050" distL="19050" distR="19050">
            <wp:extent cx="500509" cy="245533"/>
            <wp:effectExtent b="0" l="0" r="0" t="0"/>
            <wp:docPr id="28"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0509" cy="245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tiempo que establece la primera línea base formal de extracción multimodal automática a partir de recursos audiovisuales de arquitectura cloud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Venues Recomendados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Tipología de Publicación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Justificación y Ajuste Temático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EMNLP / ACL (Pista Findings o Workshops Eval4NLP / ML-Eval)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Conferencias principales de NLP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Excelente</w:t>
            </w:r>
            <w:r w:rsidDel="00000000" w:rsidR="00000000" w:rsidRPr="00000000">
              <w:rPr>
                <w:rFonts w:ascii="Google Sans" w:cs="Google Sans" w:eastAsia="Google Sans" w:hAnsi="Google Sans"/>
                <w:color w:val="1f1f1f"/>
                <w:rtl w:val="0"/>
              </w:rPr>
              <w:t xml:space="preserve">: Presentan pistas dedicadas a reproducibilidad, metodologías de evaluación rigurosas y análisis formales de resultados negativos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El cálculo del MDE y la razón de varianza (0.99) encajan plenamente en su agenda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IEEE Transactions on Software Engineering (TSE) / ACM TOSEM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Revistas cumbre en ingeniería de software empírica</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Muy Alto</w:t>
            </w:r>
            <w:r w:rsidDel="00000000" w:rsidR="00000000" w:rsidRPr="00000000">
              <w:rPr>
                <w:rFonts w:ascii="Google Sans" w:cs="Google Sans" w:eastAsia="Google Sans" w:hAnsi="Google Sans"/>
                <w:color w:val="1f1f1f"/>
                <w:rtl w:val="0"/>
              </w:rPr>
              <w:t xml:space="preserve">: Valoran estudios empíricos exhaustivos sobre datasets abiertos de la comunidad (como Cloudscape o Eismann et al.) y análisis estadísticos rigurosos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IEEE/ACM International Conference on Software Engineering (ICSE) - Tracks SEIP / Technical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Conferencia líder en desarrollo e ingeniería de software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Alto</w:t>
            </w:r>
            <w:r w:rsidDel="00000000" w:rsidR="00000000" w:rsidRPr="00000000">
              <w:rPr>
                <w:rFonts w:ascii="Google Sans" w:cs="Google Sans" w:eastAsia="Google Sans" w:hAnsi="Google Sans"/>
                <w:color w:val="1f1f1f"/>
                <w:rtl w:val="0"/>
              </w:rPr>
              <w:t xml:space="preserve">: Adecuado si se plantea como la evaluación de los límites de automatización en la ingeniería inversa de arquitecturas cloud mediante modelos fundacionales.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USENIX FAST / USENIX ATC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Conferencias de sistemas y almacenamiento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Moderado/Alto</w:t>
            </w:r>
            <w:r w:rsidDel="00000000" w:rsidR="00000000" w:rsidRPr="00000000">
              <w:rPr>
                <w:rFonts w:ascii="Google Sans" w:cs="Google Sans" w:eastAsia="Google Sans" w:hAnsi="Google Sans"/>
                <w:color w:val="1f1f1f"/>
                <w:rtl w:val="0"/>
              </w:rPr>
              <w:t xml:space="preserve">: FAST publicó Cloudscape en 2025</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 viable si el manuscrito enfatiza la validación y recomputación a gran escala de los patrones de almacenamiento descubiertos por Satija et 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Riesgos Principales de Rechazo y Mediciones de Mitigación</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 1: Atribución del No-Determinismo a un Defecto Exclusivo de una API Comercial</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Objeción del Revisor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 no-determinismo y la varianza observada podrían ser un artefacto propio de la infraestructura cerrada de Gemini Flash (como balanceo de carga o compresión de contexto en backend) y no un límite generalizable de los LLMs."</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Medición de Mitigación Obligatoria</w:t>
      </w:r>
      <w:r w:rsidDel="00000000" w:rsidR="00000000" w:rsidRPr="00000000">
        <w:rPr>
          <w:rFonts w:ascii="Google Sans" w:cs="Google Sans" w:eastAsia="Google Sans" w:hAnsi="Google Sans"/>
          <w:color w:val="1f1f1f"/>
          <w:rtl w:val="0"/>
        </w:rPr>
        <w:t xml:space="preserve">: Replicar el experimento test-retest (</w:t>
      </w:r>
      <w:r w:rsidDel="00000000" w:rsidR="00000000" w:rsidRPr="00000000">
        <w:rPr>
          <w:rFonts w:ascii="Google Sans" w:cs="Google Sans" w:eastAsia="Google Sans" w:hAnsi="Google Sans"/>
          <w:color w:val="1f1f1f"/>
        </w:rPr>
        <w:drawing>
          <wp:inline distB="19050" distT="19050" distL="19050" distR="19050">
            <wp:extent cx="500509" cy="245533"/>
            <wp:effectExtent b="0" l="0" r="0" t="0"/>
            <wp:docPr id="2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00509" cy="2455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sobre una muestra representativa (</w:t>
      </w:r>
      <w:r w:rsidDel="00000000" w:rsidR="00000000" w:rsidRPr="00000000">
        <w:rPr>
          <w:rFonts w:ascii="Google Sans" w:cs="Google Sans" w:eastAsia="Google Sans" w:hAnsi="Google Sans"/>
          <w:color w:val="1f1f1f"/>
        </w:rPr>
        <w:drawing>
          <wp:inline distB="19050" distT="19050" distL="19050" distR="19050">
            <wp:extent cx="574477" cy="248940"/>
            <wp:effectExtent b="0" l="0" r="0" t="0"/>
            <wp:docPr id="11"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4477" cy="2489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empleando un modelo multimodal abierto (por ejemplo, Qwen-2.5-VL-7B) desplegado localmente en vLLM bajo dos configuraciones:</w:t>
      </w:r>
    </w:p>
    <w:p w:rsidR="00000000" w:rsidDel="00000000" w:rsidP="00000000" w:rsidRDefault="00000000" w:rsidRPr="00000000" w14:paraId="000000A9">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Con </w:t>
      </w:r>
      <w:r w:rsidDel="00000000" w:rsidR="00000000" w:rsidRPr="00000000">
        <w:rPr>
          <w:rFonts w:ascii="Google Sans" w:cs="Google Sans" w:eastAsia="Google Sans" w:hAnsi="Google Sans"/>
          <w:i w:val="1"/>
          <w:iCs w:val="1"/>
          <w:color w:val="1f1f1f"/>
          <w:rtl w:val="0"/>
        </w:rPr>
        <w:t xml:space="preserve">continuous batching</w:t>
      </w:r>
      <w:r w:rsidDel="00000000" w:rsidR="00000000" w:rsidRPr="00000000">
        <w:rPr>
          <w:rFonts w:ascii="Google Sans" w:cs="Google Sans" w:eastAsia="Google Sans" w:hAnsi="Google Sans"/>
          <w:color w:val="1f1f1f"/>
          <w:rtl w:val="0"/>
        </w:rPr>
        <w:t xml:space="preserve"> activado en entorno multi-petición concurrente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1"/>
          <w:numId w:val="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En modo de inferencia aislada (</w:t>
      </w:r>
      <w:r w:rsidDel="00000000" w:rsidR="00000000" w:rsidRPr="00000000">
        <w:rPr>
          <w:rFonts w:ascii="Google Sans" w:cs="Google Sans" w:eastAsia="Google Sans" w:hAnsi="Google Sans"/>
          <w:i w:val="1"/>
          <w:iCs w:val="1"/>
          <w:color w:val="1f1f1f"/>
          <w:rtl w:val="0"/>
        </w:rPr>
        <w:t xml:space="preserve">batch size = 1</w:t>
      </w:r>
      <w:r w:rsidDel="00000000" w:rsidR="00000000" w:rsidRPr="00000000">
        <w:rPr>
          <w:rFonts w:ascii="Google Sans" w:cs="Google Sans" w:eastAsia="Google Sans" w:hAnsi="Google Sans"/>
          <w:color w:val="1f1f1f"/>
          <w:rtl w:val="0"/>
        </w:rPr>
        <w:t xml:space="preserve">, ejecución desacoplada y operadores batch-invariantes)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Demostrar que la dispersión se reproduce en la primera configuración y desaparece en la segunda valida formalmente el origen del fenómeno en sistemas de inferencia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 2: Incertidumbre Sobre la Consistencia del Ground Truth de Cloudscape</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Objeción del Revisor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 bajo desempeño en aristas (</w:t>
      </w:r>
      <w:r w:rsidDel="00000000" w:rsidR="00000000" w:rsidRPr="00000000">
        <w:rPr>
          <w:rFonts w:ascii="Google Sans" w:cs="Google Sans" w:eastAsia="Google Sans" w:hAnsi="Google Sans"/>
          <w:i w:val="1"/>
          <w:iCs w:val="1"/>
          <w:color w:val="1f1f1f"/>
        </w:rPr>
        <w:drawing>
          <wp:inline distB="19050" distT="19050" distL="19050" distR="19050">
            <wp:extent cx="824359" cy="246360"/>
            <wp:effectExtent b="0" l="0" r="0" t="0"/>
            <wp:docPr id="12" name="image8.png"/>
            <a:graphic>
              <a:graphicData uri="http://schemas.openxmlformats.org/drawingml/2006/picture">
                <pic:pic>
                  <pic:nvPicPr>
                    <pic:cNvPr id="0" name="image8.png"/>
                    <pic:cNvPicPr preferRelativeResize="0"/>
                  </pic:nvPicPr>
                  <pic:blipFill>
                    <a:blip r:embed="rId57"/>
                    <a:srcRect b="0" l="0" r="0" t="0"/>
                    <a:stretch>
                      <a:fillRect/>
                    </a:stretch>
                  </pic:blipFill>
                  <pic:spPr>
                    <a:xfrm>
                      <a:off x="0" y="0"/>
                      <a:ext cx="824359" cy="246360"/>
                    </a:xfrm>
                    <a:prstGeom prst="rect"/>
                    <a:ln/>
                  </pic:spPr>
                </pic:pic>
              </a:graphicData>
            </a:graphic>
          </wp:inline>
        </w:drawing>
      </w:r>
      <w:r w:rsidDel="00000000" w:rsidR="00000000" w:rsidRPr="00000000">
        <w:rPr>
          <w:rFonts w:ascii="Google Sans" w:cs="Google Sans" w:eastAsia="Google Sans" w:hAnsi="Google Sans"/>
          <w:i w:val="1"/>
          <w:iCs w:val="1"/>
          <w:color w:val="1f1f1f"/>
          <w:rtl w:val="0"/>
        </w:rPr>
        <w:t xml:space="preserve">) y la invarianza a los prompts podrían deberse a ambigüedades o errores no controlados en las anotaciones manuales originales de Cloudscape."</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Medición de Mitigación Obligatoria</w:t>
      </w:r>
      <w:r w:rsidDel="00000000" w:rsidR="00000000" w:rsidRPr="00000000">
        <w:rPr>
          <w:rFonts w:ascii="Google Sans" w:cs="Google Sans" w:eastAsia="Google Sans" w:hAnsi="Google Sans"/>
          <w:color w:val="1f1f1f"/>
          <w:rtl w:val="0"/>
        </w:rPr>
        <w:t xml:space="preserve">: Conducir un estudio formal de acuerdo inter-anotador entre dos humanos independientes sobre una muestra aleatoria de 30 videos del dataset siguiendo las directrices de Cloudscape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Computar el acuerdo estructural mediante Smatch (</w:t>
      </w:r>
      <w:r w:rsidDel="00000000" w:rsidR="00000000" w:rsidRPr="00000000">
        <w:rPr>
          <w:rFonts w:ascii="Google Sans" w:cs="Google Sans" w:eastAsia="Google Sans" w:hAnsi="Google Sans"/>
          <w:color w:val="1f1f1f"/>
        </w:rPr>
        <w:drawing>
          <wp:inline distB="19050" distT="19050" distL="19050" distR="19050">
            <wp:extent cx="204192" cy="252809"/>
            <wp:effectExtent b="0" l="0" r="0" t="0"/>
            <wp:docPr id="1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204192" cy="2528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matrices de adyacencia alineadas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Si el acuerdo inter-humano se sitúa en el rango de </w:t>
      </w:r>
      <w:r w:rsidDel="00000000" w:rsidR="00000000" w:rsidRPr="00000000">
        <w:rPr>
          <w:rFonts w:ascii="Google Sans" w:cs="Google Sans" w:eastAsia="Google Sans" w:hAnsi="Google Sans"/>
          <w:color w:val="1f1f1f"/>
        </w:rPr>
        <w:drawing>
          <wp:inline distB="19050" distT="19050" distL="19050" distR="19050">
            <wp:extent cx="794444" cy="239290"/>
            <wp:effectExtent b="0" l="0" r="0" t="0"/>
            <wp:docPr id="16" name="image11.png"/>
            <a:graphic>
              <a:graphicData uri="http://schemas.openxmlformats.org/drawingml/2006/picture">
                <pic:pic>
                  <pic:nvPicPr>
                    <pic:cNvPr id="0" name="image11.png"/>
                    <pic:cNvPicPr preferRelativeResize="0"/>
                  </pic:nvPicPr>
                  <pic:blipFill>
                    <a:blip r:embed="rId58"/>
                    <a:srcRect b="0" l="0" r="0" t="0"/>
                    <a:stretch>
                      <a:fillRect/>
                    </a:stretch>
                  </pic:blipFill>
                  <pic:spPr>
                    <a:xfrm>
                      <a:off x="0" y="0"/>
                      <a:ext cx="794444" cy="2392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demuestra que el rendimiento del modelo está acotado por la ambigüedad inherente al dominio y no por un fallo aislado del extractor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Riesgo 3: Rechazo por Reporte de Resultado Negativo sin Propuesta Constructiva</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Objeción del Revisor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"El trabajo documenta sólidamente por qué el prompt engineering colapsa frente al ruido, pero no demuestra qué intervención arquitectónica logra cerrar la brecha de rendimiento."</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Medición de Mitigación Obligatoria</w:t>
      </w:r>
      <w:r w:rsidDel="00000000" w:rsidR="00000000" w:rsidRPr="00000000">
        <w:rPr>
          <w:rFonts w:ascii="Google Sans" w:cs="Google Sans" w:eastAsia="Google Sans" w:hAnsi="Google Sans"/>
          <w:color w:val="1f1f1f"/>
          <w:rtl w:val="0"/>
        </w:rPr>
        <w:t xml:space="preserve">: Implementar y evaluar una prueba de concepto con una alternativa del Bloque 4 que supere formalmente el umbral de potencia </w:t>
      </w:r>
      <w:r w:rsidDel="00000000" w:rsidR="00000000" w:rsidRPr="00000000">
        <w:rPr>
          <w:rFonts w:ascii="Google Sans" w:cs="Google Sans" w:eastAsia="Google Sans" w:hAnsi="Google Sans"/>
          <w:color w:val="1f1f1f"/>
        </w:rPr>
        <w:drawing>
          <wp:inline distB="19050" distT="19050" distL="19050" distR="19050">
            <wp:extent cx="462706" cy="236075"/>
            <wp:effectExtent b="0" l="0" r="0" t="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2706" cy="236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Las dos opciones más eficientes consisten en </w:t>
      </w:r>
      <w:r w:rsidDel="00000000" w:rsidR="00000000" w:rsidRPr="00000000">
        <w:rPr>
          <w:rFonts w:ascii="Google Sans" w:cs="Google Sans" w:eastAsia="Google Sans" w:hAnsi="Google Sans"/>
          <w:b w:val="1"/>
          <w:bCs w:val="1"/>
          <w:color w:val="1f1f1f"/>
          <w:rtl w:val="0"/>
        </w:rPr>
        <w:t xml:space="preserve">Descomposición en Dos Etapas</w:t>
      </w:r>
      <w:r w:rsidDel="00000000" w:rsidR="00000000" w:rsidRPr="00000000">
        <w:rPr>
          <w:rFonts w:ascii="Google Sans" w:cs="Google Sans" w:eastAsia="Google Sans" w:hAnsi="Google Sans"/>
          <w:color w:val="1f1f1f"/>
          <w:rtl w:val="0"/>
        </w:rPr>
        <w:t xml:space="preserve"> (detección previa de nodos seguida de clasificación exhaustiva de aristas) o </w:t>
      </w:r>
      <w:r w:rsidDel="00000000" w:rsidR="00000000" w:rsidRPr="00000000">
        <w:rPr>
          <w:rFonts w:ascii="Google Sans" w:cs="Google Sans" w:eastAsia="Google Sans" w:hAnsi="Google Sans"/>
          <w:b w:val="1"/>
          <w:bCs w:val="1"/>
          <w:color w:val="1f1f1f"/>
          <w:rtl w:val="0"/>
        </w:rPr>
        <w:t xml:space="preserve">Self-Consistency con Votación de Aristas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67172" cy="247887"/>
            <wp:effectExtent b="0" l="0" r="0" t="0"/>
            <wp:docPr id="20"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467172" cy="2478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Demostrar que una de estas estrategias supera el </w:t>
      </w:r>
      <w:r w:rsidDel="00000000" w:rsidR="00000000" w:rsidRPr="00000000">
        <w:rPr>
          <w:rFonts w:ascii="Google Sans" w:cs="Google Sans" w:eastAsia="Google Sans" w:hAnsi="Google Sans"/>
          <w:color w:val="1f1f1f"/>
        </w:rPr>
        <w:drawing>
          <wp:inline distB="19050" distT="19050" distL="19050" distR="19050">
            <wp:extent cx="462706" cy="236075"/>
            <wp:effectExtent b="0" l="0" r="0" t="0"/>
            <wp:docPr id="2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2706" cy="236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4.4 puntos de F1 con significación estadística transforma el manuscrito de un análisis de resultado negativo en una guía metodológica y arquitectónica constructiva para la extracción estructurada.</w:t>
      </w:r>
    </w:p>
    <w:p w:rsidR="00000000" w:rsidDel="00000000" w:rsidP="00000000" w:rsidRDefault="00000000" w:rsidRPr="00000000" w14:paraId="000000B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Non-Deterministic LLM Prompts in 2026: Practical Guide - Future AGI, </w:t>
      </w:r>
      <w:hyperlink r:id="rId60">
        <w:r w:rsidDel="00000000" w:rsidR="00000000" w:rsidRPr="00000000">
          <w:rPr>
            <w:rFonts w:ascii="Google Sans" w:cs="Google Sans" w:eastAsia="Google Sans" w:hAnsi="Google Sans"/>
            <w:color w:val="0000ee"/>
            <w:sz w:val="24"/>
            <w:szCs w:val="24"/>
            <w:u w:val="single"/>
            <w:rtl w:val="0"/>
          </w:rPr>
          <w:t xml:space="preserve">https://futureagi.com/blog/non-deterministic-llm-prompts-2025/</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the temperature to zero will make an LLM deterministic?, </w:t>
      </w:r>
      <w:hyperlink r:id="rId61">
        <w:r w:rsidDel="00000000" w:rsidR="00000000" w:rsidRPr="00000000">
          <w:rPr>
            <w:rFonts w:ascii="Google Sans" w:cs="Google Sans" w:eastAsia="Google Sans" w:hAnsi="Google Sans"/>
            <w:color w:val="0000ee"/>
            <w:sz w:val="24"/>
            <w:szCs w:val="24"/>
            <w:u w:val="single"/>
            <w:rtl w:val="0"/>
          </w:rPr>
          <w:t xml:space="preserve">https://www.zansara.dev/posts/2026-03-24-temp-0-llm/</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Non-Determinism of “Deterministic” LLM Settings - arXiv, </w:t>
      </w:r>
      <w:hyperlink r:id="rId62">
        <w:r w:rsidDel="00000000" w:rsidR="00000000" w:rsidRPr="00000000">
          <w:rPr>
            <w:rFonts w:ascii="Google Sans" w:cs="Google Sans" w:eastAsia="Google Sans" w:hAnsi="Google Sans"/>
            <w:color w:val="0000ee"/>
            <w:sz w:val="24"/>
            <w:szCs w:val="24"/>
            <w:u w:val="single"/>
            <w:rtl w:val="0"/>
          </w:rPr>
          <w:t xml:space="preserve">https://arxiv.org/html/2408.04667v5</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‪Lixinyu Xu‬ - ‪Google Scholar‬, </w:t>
      </w:r>
      <w:hyperlink r:id="rId63">
        <w:r w:rsidDel="00000000" w:rsidR="00000000" w:rsidRPr="00000000">
          <w:rPr>
            <w:rFonts w:ascii="Google Sans" w:cs="Google Sans" w:eastAsia="Google Sans" w:hAnsi="Google Sans"/>
            <w:color w:val="0000ee"/>
            <w:sz w:val="24"/>
            <w:szCs w:val="24"/>
            <w:u w:val="single"/>
            <w:rtl w:val="0"/>
          </w:rPr>
          <w:t xml:space="preserve">https://scholar.google.com/citations?user=q7biyjkAAAAJ&amp;hl=en</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[2408.04667] Non-Determinism of "Deterministic" LLM Settings - arXiv, </w:t>
      </w:r>
      <w:hyperlink r:id="rId64">
        <w:r w:rsidDel="00000000" w:rsidR="00000000" w:rsidRPr="00000000">
          <w:rPr>
            <w:rFonts w:ascii="Google Sans" w:cs="Google Sans" w:eastAsia="Google Sans" w:hAnsi="Google Sans"/>
            <w:color w:val="0000ee"/>
            <w:sz w:val="24"/>
            <w:szCs w:val="24"/>
            <w:u w:val="single"/>
            <w:rtl w:val="0"/>
          </w:rPr>
          <w:t xml:space="preserve">https://arxiv.org/abs/2408.04667</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[Discussion] Non deterministic behaviour in LLMs when temperature, </w:t>
      </w:r>
      <w:hyperlink r:id="rId65">
        <w:r w:rsidDel="00000000" w:rsidR="00000000" w:rsidRPr="00000000">
          <w:rPr>
            <w:rFonts w:ascii="Google Sans" w:cs="Google Sans" w:eastAsia="Google Sans" w:hAnsi="Google Sans"/>
            <w:color w:val="0000ee"/>
            <w:sz w:val="24"/>
            <w:szCs w:val="24"/>
            <w:u w:val="single"/>
            <w:rtl w:val="0"/>
          </w:rPr>
          <w:t xml:space="preserve">https://www.reddit.com/r/MachineLearning/comments/16hmwcc/discussion_non_deterministic_behaviour_in_llms/</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Defeating Nondeterminism in LLM Inference - Thinking Machines Lab, </w:t>
      </w:r>
      <w:hyperlink r:id="rId66">
        <w:r w:rsidDel="00000000" w:rsidR="00000000" w:rsidRPr="00000000">
          <w:rPr>
            <w:rFonts w:ascii="Google Sans" w:cs="Google Sans" w:eastAsia="Google Sans" w:hAnsi="Google Sans"/>
            <w:color w:val="0000ee"/>
            <w:sz w:val="24"/>
            <w:szCs w:val="24"/>
            <w:u w:val="single"/>
            <w:rtl w:val="0"/>
          </w:rPr>
          <w:t xml:space="preserve">https://thinkingmachines.ai/blog/defeating-nondeterminism-in-llm-inference/</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Revisions - OpenReview, </w:t>
      </w:r>
      <w:hyperlink r:id="rId67">
        <w:r w:rsidDel="00000000" w:rsidR="00000000" w:rsidRPr="00000000">
          <w:rPr>
            <w:rFonts w:ascii="Google Sans" w:cs="Google Sans" w:eastAsia="Google Sans" w:hAnsi="Google Sans"/>
            <w:color w:val="0000ee"/>
            <w:sz w:val="24"/>
            <w:szCs w:val="24"/>
            <w:u w:val="single"/>
            <w:rtl w:val="0"/>
          </w:rPr>
          <w:t xml:space="preserve">https://openreview.net/revisions?id=hgI0UmatqZ</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Temperature=0 Myth: Why Your LLM Still Isn't Deterministic, </w:t>
      </w:r>
      <w:hyperlink r:id="rId68">
        <w:r w:rsidDel="00000000" w:rsidR="00000000" w:rsidRPr="00000000">
          <w:rPr>
            <w:rFonts w:ascii="Google Sans" w:cs="Google Sans" w:eastAsia="Google Sans" w:hAnsi="Google Sans"/>
            <w:color w:val="0000ee"/>
            <w:sz w:val="24"/>
            <w:szCs w:val="24"/>
            <w:u w:val="single"/>
            <w:rtl w:val="0"/>
          </w:rPr>
          <w:t xml:space="preserve">https://mikulskibartosz.name/why-temperature-0-isnt-deterministic</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Non-Determinism of "Deterministic" LLM Settings | alphaXiv, </w:t>
      </w:r>
      <w:hyperlink r:id="rId69">
        <w:r w:rsidDel="00000000" w:rsidR="00000000" w:rsidRPr="00000000">
          <w:rPr>
            <w:rFonts w:ascii="Google Sans" w:cs="Google Sans" w:eastAsia="Google Sans" w:hAnsi="Google Sans"/>
            <w:color w:val="0000ee"/>
            <w:sz w:val="24"/>
            <w:szCs w:val="24"/>
            <w:u w:val="single"/>
            <w:rtl w:val="0"/>
          </w:rPr>
          <w:t xml:space="preserve">https://www.alphaxiv.org/abs/2408.04667v5</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Little Power Comes Great Responsibility | Request PDF,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https://www.researchgate.net/publication/344663075_With_Little_Power_Comes_Great_Responsibility</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With Little Power Comes Great Responsibility - ACL Anthology, </w:t>
      </w:r>
      <w:hyperlink r:id="rId71">
        <w:r w:rsidDel="00000000" w:rsidR="00000000" w:rsidRPr="00000000">
          <w:rPr>
            <w:rFonts w:ascii="Google Sans" w:cs="Google Sans" w:eastAsia="Google Sans" w:hAnsi="Google Sans"/>
            <w:color w:val="0000ee"/>
            <w:sz w:val="24"/>
            <w:szCs w:val="24"/>
            <w:u w:val="single"/>
            <w:rtl w:val="0"/>
          </w:rPr>
          <w:t xml:space="preserve">https://aclanthology.org/2020.emnlp-main.745/</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learned to start worrying about prompt formatting - arXiv, </w:t>
      </w:r>
      <w:hyperlink r:id="rId72">
        <w:r w:rsidDel="00000000" w:rsidR="00000000" w:rsidRPr="00000000">
          <w:rPr>
            <w:rFonts w:ascii="Google Sans" w:cs="Google Sans" w:eastAsia="Google Sans" w:hAnsi="Google Sans"/>
            <w:color w:val="0000ee"/>
            <w:sz w:val="24"/>
            <w:szCs w:val="24"/>
            <w:u w:val="single"/>
            <w:rtl w:val="0"/>
          </w:rPr>
          <w:t xml:space="preserve">https://arxiv.org/html/2310.11324v2</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 Poster Session 6 - ICLR 2027, </w:t>
      </w:r>
      <w:hyperlink r:id="rId73">
        <w:r w:rsidDel="00000000" w:rsidR="00000000" w:rsidRPr="00000000">
          <w:rPr>
            <w:rFonts w:ascii="Google Sans" w:cs="Google Sans" w:eastAsia="Google Sans" w:hAnsi="Google Sans"/>
            <w:color w:val="0000ee"/>
            <w:sz w:val="24"/>
            <w:szCs w:val="24"/>
            <w:u w:val="single"/>
            <w:rtl w:val="0"/>
          </w:rPr>
          <w:t xml:space="preserve">https://iclr.cc/virtual/2024/session/19811</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Cross-linguistic Utility of Abstract Meaning, </w:t>
      </w:r>
      <w:hyperlink r:id="rId74">
        <w:r w:rsidDel="00000000" w:rsidR="00000000" w:rsidRPr="00000000">
          <w:rPr>
            <w:rFonts w:ascii="Google Sans" w:cs="Google Sans" w:eastAsia="Google Sans" w:hAnsi="Google Sans"/>
            <w:color w:val="0000ee"/>
            <w:sz w:val="24"/>
            <w:szCs w:val="24"/>
            <w:u w:val="single"/>
            <w:rtl w:val="0"/>
          </w:rPr>
          <w:t xml:space="preserve">https://direct.mit.edu/coli/article/50/2/419/118771/Assessing-the-Cross-linguistic-Utility-of-Abstract</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Smatch: an Evaluation Metric for Semantic Feature Structures, </w:t>
      </w:r>
      <w:hyperlink r:id="rId75">
        <w:r w:rsidDel="00000000" w:rsidR="00000000" w:rsidRPr="00000000">
          <w:rPr>
            <w:rFonts w:ascii="Google Sans" w:cs="Google Sans" w:eastAsia="Google Sans" w:hAnsi="Google Sans"/>
            <w:color w:val="0000ee"/>
            <w:sz w:val="24"/>
            <w:szCs w:val="24"/>
            <w:u w:val="single"/>
            <w:rtl w:val="0"/>
          </w:rPr>
          <w:t xml:space="preserve">https://aclanthology.org/P13-2131.pdf</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Smatch: an Evaluation Metric for Semantic Feature Structures, </w:t>
      </w:r>
      <w:hyperlink r:id="rId76">
        <w:r w:rsidDel="00000000" w:rsidR="00000000" w:rsidRPr="00000000">
          <w:rPr>
            <w:rFonts w:ascii="Google Sans" w:cs="Google Sans" w:eastAsia="Google Sans" w:hAnsi="Google Sans"/>
            <w:color w:val="0000ee"/>
            <w:sz w:val="24"/>
            <w:szCs w:val="24"/>
            <w:u w:val="single"/>
            <w:rtl w:val="0"/>
          </w:rPr>
          <w:t xml:space="preserve">https://www.researchgate.net/publication/270877723_Smatch_an_Evaluation_Metric_for_Semantic_Feature_Structures</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Serverless Applications: Collection, Characterization, </w:t>
      </w:r>
      <w:hyperlink r:id="rId77">
        <w:r w:rsidDel="00000000" w:rsidR="00000000" w:rsidRPr="00000000">
          <w:rPr>
            <w:rFonts w:ascii="Google Sans" w:cs="Google Sans" w:eastAsia="Google Sans" w:hAnsi="Google Sans"/>
            <w:color w:val="0000ee"/>
            <w:sz w:val="24"/>
            <w:szCs w:val="24"/>
            <w:u w:val="single"/>
            <w:rtl w:val="0"/>
          </w:rPr>
          <w:t xml:space="preserve">https://joelscheuner.com/publication/eismann-21-tse/eismann-21-tse.pdf</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Serverless Applications: Collection,Characterization, </w:t>
      </w:r>
      <w:hyperlink r:id="rId78">
        <w:r w:rsidDel="00000000" w:rsidR="00000000" w:rsidRPr="00000000">
          <w:rPr>
            <w:rFonts w:ascii="Google Sans" w:cs="Google Sans" w:eastAsia="Google Sans" w:hAnsi="Google Sans"/>
            <w:color w:val="0000ee"/>
            <w:sz w:val="24"/>
            <w:szCs w:val="24"/>
            <w:u w:val="single"/>
            <w:rtl w:val="0"/>
          </w:rPr>
          <w:t xml:space="preserve">https://zenodo.org/record/5185055</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Review of Serverless Use Cases and their Characteristics, </w:t>
      </w:r>
      <w:hyperlink r:id="rId79">
        <w:r w:rsidDel="00000000" w:rsidR="00000000" w:rsidRPr="00000000">
          <w:rPr>
            <w:rFonts w:ascii="Google Sans" w:cs="Google Sans" w:eastAsia="Google Sans" w:hAnsi="Google Sans"/>
            <w:color w:val="0000ee"/>
            <w:sz w:val="24"/>
            <w:szCs w:val="24"/>
            <w:u w:val="single"/>
            <w:rtl w:val="0"/>
          </w:rPr>
          <w:t xml:space="preserve">https://www.researchgate.net/publication/341788640_A_Review_of_Serverless_Use_Cases_and_their_Characteristics_SPEC_RG_Cloud_Working_Group</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Evaluation of Serverless Applications and Infrastructures, </w:t>
      </w:r>
      <w:hyperlink r:id="rId80">
        <w:r w:rsidDel="00000000" w:rsidR="00000000" w:rsidRPr="00000000">
          <w:rPr>
            <w:rFonts w:ascii="Google Sans" w:cs="Google Sans" w:eastAsia="Google Sans" w:hAnsi="Google Sans"/>
            <w:color w:val="0000ee"/>
            <w:sz w:val="24"/>
            <w:szCs w:val="24"/>
            <w:u w:val="single"/>
            <w:rtl w:val="0"/>
          </w:rPr>
          <w:t xml:space="preserve">https://research.chalmers.se/publication/531473/file/531473_Fulltext.pdf</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AMR-PT corpus and the semantic annotation of challenging, </w:t>
      </w:r>
      <w:hyperlink r:id="rId81">
        <w:r w:rsidDel="00000000" w:rsidR="00000000" w:rsidRPr="00000000">
          <w:rPr>
            <w:rFonts w:ascii="Google Sans" w:cs="Google Sans" w:eastAsia="Google Sans" w:hAnsi="Google Sans"/>
            <w:color w:val="0000ee"/>
            <w:sz w:val="24"/>
            <w:szCs w:val="24"/>
            <w:u w:val="single"/>
            <w:rtl w:val="0"/>
          </w:rPr>
          <w:t xml:space="preserve">https://www.scielo.br/j/delta/a/LTgwYMsRmHcVQWp5fF9q3MG/?lang=en</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Fast25 Satija | PDF | Databases | Cloud Computing - Scribd, </w:t>
      </w:r>
      <w:hyperlink r:id="rId82">
        <w:r w:rsidDel="00000000" w:rsidR="00000000" w:rsidRPr="00000000">
          <w:rPr>
            <w:rFonts w:ascii="Google Sans" w:cs="Google Sans" w:eastAsia="Google Sans" w:hAnsi="Google Sans"/>
            <w:color w:val="0000ee"/>
            <w:sz w:val="24"/>
            <w:szCs w:val="24"/>
            <w:u w:val="single"/>
            <w:rtl w:val="0"/>
          </w:rPr>
          <w:t xml:space="preserve">https://www.scribd.com/document/1007430425/fast25-satija</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of Storage Services in Modern Cloud Architectures - USENIX, </w:t>
      </w:r>
      <w:hyperlink r:id="rId83">
        <w:r w:rsidDel="00000000" w:rsidR="00000000" w:rsidRPr="00000000">
          <w:rPr>
            <w:rFonts w:ascii="Google Sans" w:cs="Google Sans" w:eastAsia="Google Sans" w:hAnsi="Google Sans"/>
            <w:color w:val="0000ee"/>
            <w:sz w:val="24"/>
            <w:szCs w:val="24"/>
            <w:u w:val="single"/>
            <w:rtl w:val="0"/>
          </w:rPr>
          <w:t xml:space="preserve">https://www.usenix.org/system/files/fast25-satija.pdf</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HPC and Edge Architectures in the Cloud - arXiv, </w:t>
      </w:r>
      <w:hyperlink r:id="rId84">
        <w:r w:rsidDel="00000000" w:rsidR="00000000" w:rsidRPr="00000000">
          <w:rPr>
            <w:rFonts w:ascii="Google Sans" w:cs="Google Sans" w:eastAsia="Google Sans" w:hAnsi="Google Sans"/>
            <w:color w:val="0000ee"/>
            <w:sz w:val="24"/>
            <w:szCs w:val="24"/>
            <w:u w:val="single"/>
            <w:rtl w:val="0"/>
          </w:rPr>
          <w:t xml:space="preserve">https://arxiv.org/html/2508.01494v1</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HPC and Edge Architectures in the Cloud - arXiv, </w:t>
      </w:r>
      <w:hyperlink r:id="rId85">
        <w:r w:rsidDel="00000000" w:rsidR="00000000" w:rsidRPr="00000000">
          <w:rPr>
            <w:rFonts w:ascii="Google Sans" w:cs="Google Sans" w:eastAsia="Google Sans" w:hAnsi="Google Sans"/>
            <w:color w:val="0000ee"/>
            <w:sz w:val="24"/>
            <w:szCs w:val="24"/>
            <w:u w:val="single"/>
            <w:rtl w:val="0"/>
          </w:rPr>
          <w:t xml:space="preserve">https://arxiv.org/pdf/2508.01494</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[2508.01494] An Analysis of HPC and Edge Architectures in the Cloud, </w:t>
      </w:r>
      <w:hyperlink r:id="rId86">
        <w:r w:rsidDel="00000000" w:rsidR="00000000" w:rsidRPr="00000000">
          <w:rPr>
            <w:rFonts w:ascii="Google Sans" w:cs="Google Sans" w:eastAsia="Google Sans" w:hAnsi="Google Sans"/>
            <w:color w:val="0000ee"/>
            <w:sz w:val="24"/>
            <w:szCs w:val="24"/>
            <w:u w:val="single"/>
            <w:rtl w:val="0"/>
          </w:rPr>
          <w:t xml:space="preserve">https://arxiv.org/abs/2508.01494</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HPC and Edge Architectures in the Cloud - IEEE Xplore, </w:t>
      </w:r>
      <w:hyperlink r:id="rId87">
        <w:r w:rsidDel="00000000" w:rsidR="00000000" w:rsidRPr="00000000">
          <w:rPr>
            <w:rFonts w:ascii="Google Sans" w:cs="Google Sans" w:eastAsia="Google Sans" w:hAnsi="Google Sans"/>
            <w:color w:val="0000ee"/>
            <w:sz w:val="24"/>
            <w:szCs w:val="24"/>
            <w:u w:val="single"/>
            <w:rtl w:val="0"/>
          </w:rPr>
          <w:t xml:space="preserve">https://ieeexplore.ieee.org/iel8/11196086/11196102/11196640.pdf</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and Evaluating VLMs for Software Architecture, </w:t>
      </w:r>
      <w:hyperlink r:id="rId88">
        <w:r w:rsidDel="00000000" w:rsidR="00000000" w:rsidRPr="00000000">
          <w:rPr>
            <w:rFonts w:ascii="Google Sans" w:cs="Google Sans" w:eastAsia="Google Sans" w:hAnsi="Google Sans"/>
            <w:color w:val="0000ee"/>
            <w:sz w:val="24"/>
            <w:szCs w:val="24"/>
            <w:u w:val="single"/>
            <w:rtl w:val="0"/>
          </w:rPr>
          <w:t xml:space="preserve">https://arxiv.org/html/2604.04009v1</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and Evaluating VLMs for Software Architecture, </w:t>
      </w:r>
      <w:hyperlink r:id="rId89">
        <w:r w:rsidDel="00000000" w:rsidR="00000000" w:rsidRPr="00000000">
          <w:rPr>
            <w:rFonts w:ascii="Google Sans" w:cs="Google Sans" w:eastAsia="Google Sans" w:hAnsi="Google Sans"/>
            <w:color w:val="0000ee"/>
            <w:sz w:val="24"/>
            <w:szCs w:val="24"/>
            <w:u w:val="single"/>
            <w:rtl w:val="0"/>
          </w:rPr>
          <w:t xml:space="preserve">https://arxiv.org/pdf/2604.04009</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Student-Centric Evaluation Survey to Explore the Impact of LLMs, </w:t>
      </w:r>
      <w:hyperlink r:id="rId90">
        <w:r w:rsidDel="00000000" w:rsidR="00000000" w:rsidRPr="00000000">
          <w:rPr>
            <w:rFonts w:ascii="Google Sans" w:cs="Google Sans" w:eastAsia="Google Sans" w:hAnsi="Google Sans"/>
            <w:color w:val="0000ee"/>
            <w:sz w:val="24"/>
            <w:szCs w:val="24"/>
            <w:u w:val="single"/>
            <w:rtl w:val="0"/>
          </w:rPr>
          <w:t xml:space="preserve">https://www.mdpi.com/2078-2489/16/7/565</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Students-Centric Evaluation Survey for Exploring the Impact of LLMs, </w:t>
      </w:r>
      <w:hyperlink r:id="rId91">
        <w:r w:rsidDel="00000000" w:rsidR="00000000" w:rsidRPr="00000000">
          <w:rPr>
            <w:rFonts w:ascii="Google Sans" w:cs="Google Sans" w:eastAsia="Google Sans" w:hAnsi="Google Sans"/>
            <w:color w:val="0000ee"/>
            <w:sz w:val="24"/>
            <w:szCs w:val="24"/>
            <w:u w:val="single"/>
            <w:rtl w:val="0"/>
          </w:rPr>
          <w:t xml:space="preserve">https://www.preprints.org/manuscript/202505.2054</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arXiv:2204.06251v1 [cs.LG] 13 Apr 2022 - ML Evaluation Standards, </w:t>
      </w:r>
      <w:hyperlink r:id="rId92">
        <w:r w:rsidDel="00000000" w:rsidR="00000000" w:rsidRPr="00000000">
          <w:rPr>
            <w:rFonts w:ascii="Google Sans" w:cs="Google Sans" w:eastAsia="Google Sans" w:hAnsi="Google Sans"/>
            <w:color w:val="0000ee"/>
            <w:sz w:val="24"/>
            <w:szCs w:val="24"/>
            <w:u w:val="single"/>
            <w:rtl w:val="0"/>
          </w:rPr>
          <w:t xml:space="preserve">https://ml-eval.github.io/assets/pdf/Experimental_Standards_Paper.pdf</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Rise of the Planet of Serverless Computing: A Systematic Review, </w:t>
      </w:r>
      <w:hyperlink r:id="rId93">
        <w:r w:rsidDel="00000000" w:rsidR="00000000" w:rsidRPr="00000000">
          <w:rPr>
            <w:rFonts w:ascii="Google Sans" w:cs="Google Sans" w:eastAsia="Google Sans" w:hAnsi="Google Sans"/>
            <w:color w:val="0000ee"/>
            <w:sz w:val="24"/>
            <w:szCs w:val="24"/>
            <w:u w:val="single"/>
            <w:rtl w:val="0"/>
          </w:rPr>
          <w:t xml:space="preserve">https://xinjin.github.io/files/TOSEM23_Serverless.pdf</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HPC and Edge Architectures in the Cloud, </w:t>
      </w:r>
      <w:hyperlink r:id="rId94">
        <w:r w:rsidDel="00000000" w:rsidR="00000000" w:rsidRPr="00000000">
          <w:rPr>
            <w:rFonts w:ascii="Google Sans" w:cs="Google Sans" w:eastAsia="Google Sans" w:hAnsi="Google Sans"/>
            <w:color w:val="0000ee"/>
            <w:sz w:val="24"/>
            <w:szCs w:val="24"/>
            <w:u w:val="single"/>
            <w:rtl w:val="0"/>
          </w:rPr>
          <w:t xml:space="preserve">https://www.researchgate.net/publication/396639556_An_Analysis_of_HPC_and_Edge_Architectures_in_the_Cloud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84" Type="http://schemas.openxmlformats.org/officeDocument/2006/relationships/hyperlink" Target="https://arxiv.org/html/2508.01494v1" TargetMode="External"/><Relationship Id="rId83" Type="http://schemas.openxmlformats.org/officeDocument/2006/relationships/hyperlink" Target="https://www.usenix.org/system/files/fast25-satija.pdf" TargetMode="External"/><Relationship Id="rId42" Type="http://schemas.openxmlformats.org/officeDocument/2006/relationships/image" Target="media/image3.png"/><Relationship Id="rId86" Type="http://schemas.openxmlformats.org/officeDocument/2006/relationships/hyperlink" Target="https://arxiv.org/abs/2508.01494" TargetMode="External"/><Relationship Id="rId41" Type="http://schemas.openxmlformats.org/officeDocument/2006/relationships/image" Target="media/image24.png"/><Relationship Id="rId85" Type="http://schemas.openxmlformats.org/officeDocument/2006/relationships/hyperlink" Target="https://arxiv.org/pdf/2508.01494" TargetMode="External"/><Relationship Id="rId44" Type="http://schemas.openxmlformats.org/officeDocument/2006/relationships/image" Target="media/image32.png"/><Relationship Id="rId88" Type="http://schemas.openxmlformats.org/officeDocument/2006/relationships/hyperlink" Target="https://arxiv.org/html/2604.04009v1" TargetMode="External"/><Relationship Id="rId43" Type="http://schemas.openxmlformats.org/officeDocument/2006/relationships/image" Target="media/image4.png"/><Relationship Id="rId87" Type="http://schemas.openxmlformats.org/officeDocument/2006/relationships/hyperlink" Target="https://ieeexplore.ieee.org/iel8/11196086/11196102/11196640.pdf" TargetMode="External"/><Relationship Id="rId46" Type="http://schemas.openxmlformats.org/officeDocument/2006/relationships/image" Target="media/image54.png"/><Relationship Id="rId45" Type="http://schemas.openxmlformats.org/officeDocument/2006/relationships/image" Target="media/image42.png"/><Relationship Id="rId89" Type="http://schemas.openxmlformats.org/officeDocument/2006/relationships/hyperlink" Target="https://arxiv.org/pdf/2604.04009" TargetMode="External"/><Relationship Id="rId80" Type="http://schemas.openxmlformats.org/officeDocument/2006/relationships/hyperlink" Target="https://research.chalmers.se/publication/531473/file/531473_Fulltext.pdf" TargetMode="External"/><Relationship Id="rId82" Type="http://schemas.openxmlformats.org/officeDocument/2006/relationships/hyperlink" Target="https://www.scribd.com/document/1007430425/fast25-satija" TargetMode="External"/><Relationship Id="rId81" Type="http://schemas.openxmlformats.org/officeDocument/2006/relationships/hyperlink" Target="https://www.scielo.br/j/delta/a/LTgwYMsRmHcVQWp5fF9q3MG/?lan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46.png"/><Relationship Id="rId47" Type="http://schemas.openxmlformats.org/officeDocument/2006/relationships/image" Target="media/image44.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41.png"/><Relationship Id="rId8" Type="http://schemas.openxmlformats.org/officeDocument/2006/relationships/image" Target="media/image35.png"/><Relationship Id="rId73" Type="http://schemas.openxmlformats.org/officeDocument/2006/relationships/hyperlink" Target="https://iclr.cc/virtual/2024/session/19811" TargetMode="External"/><Relationship Id="rId72" Type="http://schemas.openxmlformats.org/officeDocument/2006/relationships/hyperlink" Target="https://arxiv.org/html/2310.11324v2" TargetMode="External"/><Relationship Id="rId31" Type="http://schemas.openxmlformats.org/officeDocument/2006/relationships/image" Target="media/image2.png"/><Relationship Id="rId75" Type="http://schemas.openxmlformats.org/officeDocument/2006/relationships/hyperlink" Target="https://aclanthology.org/P13-2131.pdf" TargetMode="External"/><Relationship Id="rId30" Type="http://schemas.openxmlformats.org/officeDocument/2006/relationships/image" Target="media/image1.png"/><Relationship Id="rId74" Type="http://schemas.openxmlformats.org/officeDocument/2006/relationships/hyperlink" Target="https://direct.mit.edu/coli/article/50/2/419/118771/Assessing-the-Cross-linguistic-Utility-of-Abstract" TargetMode="External"/><Relationship Id="rId33" Type="http://schemas.openxmlformats.org/officeDocument/2006/relationships/image" Target="media/image17.png"/><Relationship Id="rId77" Type="http://schemas.openxmlformats.org/officeDocument/2006/relationships/hyperlink" Target="https://joelscheuner.com/publication/eismann-21-tse/eismann-21-tse.pdf" TargetMode="External"/><Relationship Id="rId32" Type="http://schemas.openxmlformats.org/officeDocument/2006/relationships/image" Target="media/image21.png"/><Relationship Id="rId76" Type="http://schemas.openxmlformats.org/officeDocument/2006/relationships/hyperlink" Target="https://www.researchgate.net/publication/270877723_Smatch_an_Evaluation_Metric_for_Semantic_Feature_Structures" TargetMode="External"/><Relationship Id="rId35" Type="http://schemas.openxmlformats.org/officeDocument/2006/relationships/image" Target="media/image20.png"/><Relationship Id="rId79" Type="http://schemas.openxmlformats.org/officeDocument/2006/relationships/hyperlink" Target="https://www.researchgate.net/publication/341788640_A_Review_of_Serverless_Use_Cases_and_their_Characteristics_SPEC_RG_Cloud_Working_Group" TargetMode="External"/><Relationship Id="rId34" Type="http://schemas.openxmlformats.org/officeDocument/2006/relationships/image" Target="media/image18.png"/><Relationship Id="rId78" Type="http://schemas.openxmlformats.org/officeDocument/2006/relationships/hyperlink" Target="https://zenodo.org/record/5185055" TargetMode="External"/><Relationship Id="rId71" Type="http://schemas.openxmlformats.org/officeDocument/2006/relationships/hyperlink" Target="https://aclanthology.org/2020.emnlp-main.745/" TargetMode="External"/><Relationship Id="rId70" Type="http://schemas.openxmlformats.org/officeDocument/2006/relationships/hyperlink" Target="https://www.researchgate.net/publication/344663075_With_Little_Power_Comes_Great_Responsibility" TargetMode="External"/><Relationship Id="rId37" Type="http://schemas.openxmlformats.org/officeDocument/2006/relationships/image" Target="media/image14.png"/><Relationship Id="rId36" Type="http://schemas.openxmlformats.org/officeDocument/2006/relationships/image" Target="media/image15.png"/><Relationship Id="rId39" Type="http://schemas.openxmlformats.org/officeDocument/2006/relationships/image" Target="media/image6.png"/><Relationship Id="rId38" Type="http://schemas.openxmlformats.org/officeDocument/2006/relationships/image" Target="media/image10.png"/><Relationship Id="rId62" Type="http://schemas.openxmlformats.org/officeDocument/2006/relationships/hyperlink" Target="https://arxiv.org/html/2408.04667v5" TargetMode="External"/><Relationship Id="rId61" Type="http://schemas.openxmlformats.org/officeDocument/2006/relationships/hyperlink" Target="https://www.zansara.dev/posts/2026-03-24-temp-0-llm/" TargetMode="External"/><Relationship Id="rId20" Type="http://schemas.openxmlformats.org/officeDocument/2006/relationships/image" Target="media/image47.png"/><Relationship Id="rId64" Type="http://schemas.openxmlformats.org/officeDocument/2006/relationships/hyperlink" Target="https://arxiv.org/abs/2408.04667" TargetMode="External"/><Relationship Id="rId63" Type="http://schemas.openxmlformats.org/officeDocument/2006/relationships/hyperlink" Target="https://scholar.google.com/citations?user=q7biyjkAAAAJ&amp;hl=en" TargetMode="External"/><Relationship Id="rId22" Type="http://schemas.openxmlformats.org/officeDocument/2006/relationships/image" Target="media/image34.png"/><Relationship Id="rId66" Type="http://schemas.openxmlformats.org/officeDocument/2006/relationships/hyperlink" Target="https://thinkingmachines.ai/blog/defeating-nondeterminism-in-llm-inference/" TargetMode="External"/><Relationship Id="rId21" Type="http://schemas.openxmlformats.org/officeDocument/2006/relationships/image" Target="media/image13.png"/><Relationship Id="rId65" Type="http://schemas.openxmlformats.org/officeDocument/2006/relationships/hyperlink" Target="https://www.reddit.com/r/MachineLearning/comments/16hmwcc/discussion_non_deterministic_behaviour_in_llms/" TargetMode="External"/><Relationship Id="rId24" Type="http://schemas.openxmlformats.org/officeDocument/2006/relationships/image" Target="media/image12.png"/><Relationship Id="rId68" Type="http://schemas.openxmlformats.org/officeDocument/2006/relationships/hyperlink" Target="https://mikulskibartosz.name/why-temperature-0-isnt-deterministic" TargetMode="External"/><Relationship Id="rId23" Type="http://schemas.openxmlformats.org/officeDocument/2006/relationships/image" Target="media/image23.png"/><Relationship Id="rId67" Type="http://schemas.openxmlformats.org/officeDocument/2006/relationships/hyperlink" Target="https://openreview.net/revisions?id=hgI0UmatqZ" TargetMode="External"/><Relationship Id="rId60" Type="http://schemas.openxmlformats.org/officeDocument/2006/relationships/hyperlink" Target="https://futureagi.com/blog/non-deterministic-llm-prompts-2025/" TargetMode="External"/><Relationship Id="rId26" Type="http://schemas.openxmlformats.org/officeDocument/2006/relationships/image" Target="media/image28.png"/><Relationship Id="rId25" Type="http://schemas.openxmlformats.org/officeDocument/2006/relationships/image" Target="media/image33.png"/><Relationship Id="rId69" Type="http://schemas.openxmlformats.org/officeDocument/2006/relationships/hyperlink" Target="https://www.alphaxiv.org/abs/2408.04667v5" TargetMode="External"/><Relationship Id="rId28" Type="http://schemas.openxmlformats.org/officeDocument/2006/relationships/image" Target="media/image30.png"/><Relationship Id="rId27" Type="http://schemas.openxmlformats.org/officeDocument/2006/relationships/image" Target="media/image36.png"/><Relationship Id="rId29" Type="http://schemas.openxmlformats.org/officeDocument/2006/relationships/image" Target="media/image31.png"/><Relationship Id="rId51" Type="http://schemas.openxmlformats.org/officeDocument/2006/relationships/image" Target="media/image45.png"/><Relationship Id="rId50" Type="http://schemas.openxmlformats.org/officeDocument/2006/relationships/image" Target="media/image51.png"/><Relationship Id="rId94" Type="http://schemas.openxmlformats.org/officeDocument/2006/relationships/hyperlink" Target="https://www.researchgate.net/publication/396639556_An_Analysis_of_HPC_and_Edge_Architectures_in_the_Cloud" TargetMode="External"/><Relationship Id="rId53" Type="http://schemas.openxmlformats.org/officeDocument/2006/relationships/image" Target="media/image22.png"/><Relationship Id="rId52" Type="http://schemas.openxmlformats.org/officeDocument/2006/relationships/image" Target="media/image27.png"/><Relationship Id="rId11" Type="http://schemas.openxmlformats.org/officeDocument/2006/relationships/image" Target="media/image40.png"/><Relationship Id="rId55" Type="http://schemas.openxmlformats.org/officeDocument/2006/relationships/image" Target="media/image19.png"/><Relationship Id="rId10" Type="http://schemas.openxmlformats.org/officeDocument/2006/relationships/image" Target="media/image38.png"/><Relationship Id="rId54" Type="http://schemas.openxmlformats.org/officeDocument/2006/relationships/image" Target="media/image26.png"/><Relationship Id="rId13" Type="http://schemas.openxmlformats.org/officeDocument/2006/relationships/image" Target="media/image53.png"/><Relationship Id="rId57" Type="http://schemas.openxmlformats.org/officeDocument/2006/relationships/image" Target="media/image8.png"/><Relationship Id="rId12" Type="http://schemas.openxmlformats.org/officeDocument/2006/relationships/image" Target="media/image43.png"/><Relationship Id="rId56" Type="http://schemas.openxmlformats.org/officeDocument/2006/relationships/image" Target="media/image25.png"/><Relationship Id="rId91" Type="http://schemas.openxmlformats.org/officeDocument/2006/relationships/hyperlink" Target="https://www.preprints.org/manuscript/202505.2054" TargetMode="External"/><Relationship Id="rId90" Type="http://schemas.openxmlformats.org/officeDocument/2006/relationships/hyperlink" Target="https://www.mdpi.com/2078-2489/16/7/565" TargetMode="External"/><Relationship Id="rId93" Type="http://schemas.openxmlformats.org/officeDocument/2006/relationships/hyperlink" Target="https://xinjin.github.io/files/TOSEM23_Serverless.pdf" TargetMode="External"/><Relationship Id="rId92" Type="http://schemas.openxmlformats.org/officeDocument/2006/relationships/hyperlink" Target="https://ml-eval.github.io/assets/pdf/Experimental_Standards_Paper.pdf" TargetMode="External"/><Relationship Id="rId15" Type="http://schemas.openxmlformats.org/officeDocument/2006/relationships/image" Target="media/image7.png"/><Relationship Id="rId59" Type="http://schemas.openxmlformats.org/officeDocument/2006/relationships/image" Target="media/image9.png"/><Relationship Id="rId14" Type="http://schemas.openxmlformats.org/officeDocument/2006/relationships/image" Target="media/image48.png"/><Relationship Id="rId58" Type="http://schemas.openxmlformats.org/officeDocument/2006/relationships/image" Target="media/image11.png"/><Relationship Id="rId17" Type="http://schemas.openxmlformats.org/officeDocument/2006/relationships/image" Target="media/image29.png"/><Relationship Id="rId16" Type="http://schemas.openxmlformats.org/officeDocument/2006/relationships/image" Target="media/image50.png"/><Relationship Id="rId19" Type="http://schemas.openxmlformats.org/officeDocument/2006/relationships/image" Target="media/image52.png"/><Relationship Id="rId1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