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" w:line="240" w:lineRule="auto"/>
        <w:jc w:val="center"/>
      </w:pPr>
      <w:r>
        <w:rPr>
          <w:rFonts w:ascii="Arial" w:hAnsi="Arial" w:eastAsia="Arial"/>
          <w:b/>
          <w:i w:val="0"/>
          <w:color w:val="1F3864"/>
          <w:sz w:val="31"/>
        </w:rPr>
        <w:t>ZISHUN GAO</w:t>
      </w:r>
    </w:p>
    <w:p>
      <w:pPr>
        <w:spacing w:before="0" w:after="7" w:line="240" w:lineRule="auto"/>
        <w:jc w:val="center"/>
      </w:pPr>
      <w:r>
        <w:rPr>
          <w:rFonts w:ascii="Arial" w:hAnsi="Arial" w:eastAsia="Arial"/>
          <w:b/>
          <w:i w:val="0"/>
          <w:color w:val="1E1E1E"/>
          <w:sz w:val="17"/>
        </w:rPr>
        <w:t>Data Analyst | BI Analyst | Business Analyst | SQL, Python, Excel &amp; Power BI</w:t>
      </w:r>
    </w:p>
    <w:p>
      <w:pPr>
        <w:spacing w:before="0" w:after="4" w:line="240" w:lineRule="auto"/>
        <w:jc w:val="center"/>
      </w:pPr>
      <w:r>
        <w:rPr>
          <w:rFonts w:ascii="Arial" w:hAnsi="Arial" w:eastAsia="Arial"/>
          <w:b w:val="0"/>
          <w:i w:val="0"/>
          <w:color w:val="5C5C5C"/>
          <w:sz w:val="15"/>
        </w:rPr>
        <w:t xml:space="preserve">Bristol, UK | +44 (0)7354 254302 | </w:t>
      </w:r>
      <w:hyperlink r:id="rId9">
        <w:r>
          <w:rPr>
            <w:rFonts w:ascii="Arial" w:hAnsi="Arial" w:eastAsia="Arial"/>
            <w:sz w:val="15"/>
            <w:color w:val="1F3864"/>
            <w:u w:val="none"/>
          </w:rPr>
          <w:t>gzs20030423@gmail.com</w:t>
        </w:r>
      </w:hyperlink>
    </w:p>
    <w:p>
      <w:pPr>
        <w:spacing w:before="0" w:after="20" w:line="240" w:lineRule="auto"/>
        <w:jc w:val="center"/>
      </w:pPr>
      <w:r>
        <w:rPr>
          <w:rFonts w:ascii="Arial" w:hAnsi="Arial" w:eastAsia="Arial"/>
          <w:b w:val="0"/>
          <w:i w:val="0"/>
          <w:color w:val="5C5C5C"/>
          <w:sz w:val="14"/>
        </w:rPr>
        <w:t xml:space="preserve">LinkedIn: </w:t>
      </w:r>
      <w:hyperlink r:id="rId10">
        <w:r>
          <w:rPr>
            <w:rFonts w:ascii="Arial" w:hAnsi="Arial" w:eastAsia="Arial"/>
            <w:sz w:val="14"/>
            <w:color w:val="1F3864"/>
            <w:u w:val="none"/>
          </w:rPr>
          <w:t>linkedin.com/in/zishun-gao-81a73a384</w:t>
        </w:r>
      </w:hyperlink>
      <w:r>
        <w:rPr>
          <w:rFonts w:ascii="Arial" w:hAnsi="Arial" w:eastAsia="Arial"/>
          <w:b w:val="0"/>
          <w:i w:val="0"/>
          <w:color w:val="5C5C5C"/>
          <w:sz w:val="14"/>
        </w:rPr>
        <w:t xml:space="preserve"> | Portfolio: </w:t>
      </w:r>
      <w:hyperlink r:id="rId11">
        <w:r>
          <w:rPr>
            <w:rFonts w:ascii="Arial" w:hAnsi="Arial" w:eastAsia="Arial"/>
            <w:sz w:val="14"/>
            <w:color w:val="1F3864"/>
            <w:u w:val="none"/>
          </w:rPr>
          <w:t>stevenjobs530-afk.github.io/Zishun-Gao-Personal-Portfolio</w:t>
        </w:r>
      </w:hyperlink>
    </w:p>
    <w:p>
      <w:pPr>
        <w:spacing w:before="36" w:after="9" w:line="240" w:lineRule="auto"/>
        <w:pBdr>
          <w:bottom w:val="single" w:sz="6" w:space="1" w:color="1F3864"/>
        </w:pBdr>
      </w:pPr>
      <w:r>
        <w:rPr>
          <w:rFonts w:ascii="Arial" w:hAnsi="Arial" w:eastAsia="Arial"/>
          <w:b/>
          <w:i w:val="0"/>
          <w:color w:val="1F3864"/>
          <w:sz w:val="18"/>
        </w:rPr>
        <w:t>PROFESSIONAL PROFILE</w:t>
      </w:r>
    </w:p>
    <w:p>
      <w:pPr>
        <w:spacing w:before="0" w:after="6" w:line="240" w:lineRule="auto"/>
      </w:pPr>
      <w:r>
        <w:rPr>
          <w:rFonts w:ascii="Arial" w:hAnsi="Arial" w:eastAsia="Arial"/>
          <w:b w:val="0"/>
          <w:i w:val="0"/>
          <w:color w:val="1E1E1E"/>
          <w:sz w:val="15"/>
        </w:rPr>
        <w:t>MSc Management (Digitalisation and Big Data) candidate at the University of Bristol with a finance, international trade and business analytics background. Hands-on experience in SQL, Python, Excel and Power BI concepts, with portfolio projects covering large-scale data cleaning, analysis-ready tables, KPI-style reporting, applied research prototypes and business-facing recommendations. Interested in Data Analyst, BI Analyst, Business Analyst and Finance Data Analyst graduate roles in the UK.</w:t>
      </w:r>
    </w:p>
    <w:p>
      <w:pPr>
        <w:spacing w:before="36" w:after="9" w:line="240" w:lineRule="auto"/>
        <w:pBdr>
          <w:bottom w:val="single" w:sz="6" w:space="1" w:color="1F3864"/>
        </w:pBdr>
      </w:pPr>
      <w:r>
        <w:rPr>
          <w:rFonts w:ascii="Arial" w:hAnsi="Arial" w:eastAsia="Arial"/>
          <w:b/>
          <w:i w:val="0"/>
          <w:color w:val="1F3864"/>
          <w:sz w:val="18"/>
        </w:rPr>
        <w:t>EDUCATION</w:t>
      </w:r>
    </w:p>
    <w:p>
      <w:pPr>
        <w:spacing w:before="8" w:after="1" w:line="240" w:lineRule="auto"/>
      </w:pPr>
      <w:r>
        <w:rPr>
          <w:rFonts w:ascii="Arial" w:hAnsi="Arial" w:eastAsia="Arial"/>
          <w:b/>
          <w:i w:val="0"/>
          <w:color w:val="1E1E1E"/>
          <w:sz w:val="16"/>
        </w:rPr>
        <w:t>MSc Management (Digitalisation and Big Data)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University of Bristol | Bristol, UK | Sep 2025 - Sep 2026 (Expected)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Focus: big data analytics, digital transformation, data-driven decision-making, Power BI reporting and research methods.</w:t>
      </w:r>
    </w:p>
    <w:p>
      <w:pPr>
        <w:spacing w:before="8" w:after="1" w:line="240" w:lineRule="auto"/>
      </w:pPr>
      <w:r>
        <w:rPr>
          <w:rFonts w:ascii="Arial" w:hAnsi="Arial" w:eastAsia="Arial"/>
          <w:b/>
          <w:i w:val="0"/>
          <w:color w:val="1E1E1E"/>
          <w:sz w:val="16"/>
        </w:rPr>
        <w:t>BSc International Trade and Economics (International Trade / Financial Risk Management)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Central University of Finance and Economics &amp; Victoria University | Sep 2021 - Jul 2025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GPA: 87.36/100 (3.7/4.0); Second Class Academic Scholarship in 2022 and 2023; relevant modules include Statistics, Econometrics and Accounting for Decision Making.</w:t>
      </w:r>
    </w:p>
    <w:p>
      <w:pPr>
        <w:spacing w:before="36" w:after="9" w:line="240" w:lineRule="auto"/>
        <w:pBdr>
          <w:bottom w:val="single" w:sz="6" w:space="1" w:color="1F3864"/>
        </w:pBdr>
      </w:pPr>
      <w:r>
        <w:rPr>
          <w:rFonts w:ascii="Arial" w:hAnsi="Arial" w:eastAsia="Arial"/>
          <w:b/>
          <w:i w:val="0"/>
          <w:color w:val="1F3864"/>
          <w:sz w:val="18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99"/>
        <w:gridCol w:w="8164"/>
      </w:tblGrid>
      <w:tr>
        <w:tc>
          <w:tcPr>
            <w:tcW w:type="dxa" w:w="1899"/>
            <w:shd w:fill="EAF1F8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15"/>
              </w:rPr>
              <w:t>SQL &amp; Databases</w:t>
            </w:r>
          </w:p>
        </w:tc>
        <w:tc>
          <w:tcPr>
            <w:tcW w:type="dxa" w:w="8164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5"/>
              </w:rPr>
              <w:t>joins, CTE-style logic, aggregations, subqueries, validation and ETL cleaning rules; MySQL, SQLite, DataGrip</w:t>
            </w:r>
          </w:p>
        </w:tc>
      </w:tr>
      <w:tr>
        <w:tc>
          <w:tcPr>
            <w:tcW w:type="dxa" w:w="1899"/>
            <w:shd w:fill="EAF1F8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15"/>
              </w:rPr>
              <w:t>Python Analytics</w:t>
            </w:r>
          </w:p>
        </w:tc>
        <w:tc>
          <w:tcPr>
            <w:tcW w:type="dxa" w:w="8164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5"/>
              </w:rPr>
              <w:t>pandas, data profiling, missing/duplicate handling, extraction scripts, matplotlib and seaborn visualisation</w:t>
            </w:r>
          </w:p>
        </w:tc>
      </w:tr>
      <w:tr>
        <w:tc>
          <w:tcPr>
            <w:tcW w:type="dxa" w:w="1899"/>
            <w:shd w:fill="EAF1F8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15"/>
              </w:rPr>
              <w:t>Power BI</w:t>
            </w:r>
          </w:p>
        </w:tc>
        <w:tc>
          <w:tcPr>
            <w:tcW w:type="dxa" w:w="8164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5"/>
              </w:rPr>
              <w:t>KPI cards, slicers, trend charts, Power Query cleaning, DAX-style measures and data modelling fundamentals</w:t>
            </w:r>
          </w:p>
        </w:tc>
      </w:tr>
      <w:tr>
        <w:tc>
          <w:tcPr>
            <w:tcW w:type="dxa" w:w="1899"/>
            <w:shd w:fill="EAF1F8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15"/>
              </w:rPr>
              <w:t>Excel &amp; Reporting</w:t>
            </w:r>
          </w:p>
        </w:tc>
        <w:tc>
          <w:tcPr>
            <w:tcW w:type="dxa" w:w="8164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5"/>
              </w:rPr>
              <w:t>PivotTables, lookup formulas, data-quality trackers, KPI summaries, reporting notes and stakeholder-ready analysis packs</w:t>
            </w:r>
          </w:p>
        </w:tc>
      </w:tr>
      <w:tr>
        <w:tc>
          <w:tcPr>
            <w:tcW w:type="dxa" w:w="1899"/>
            <w:shd w:fill="EAF1F8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15"/>
              </w:rPr>
              <w:t>Business Analysis</w:t>
            </w:r>
          </w:p>
        </w:tc>
        <w:tc>
          <w:tcPr>
            <w:tcW w:type="dxa" w:w="8164"/>
            <w:tcBorders>
              <w:top w:sz="2" w:val="single" w:color="D9E2F3"/>
              <w:bottom w:sz="2" w:val="single" w:color="D9E2F3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5"/>
              </w:rPr>
              <w:t>business-question framing, requirements translation, KPI design, stakeholder communication and insight storytelling</w:t>
            </w:r>
          </w:p>
        </w:tc>
      </w:tr>
    </w:tbl>
    <w:p>
      <w:pPr>
        <w:spacing w:before="36" w:after="9" w:line="240" w:lineRule="auto"/>
        <w:pBdr>
          <w:bottom w:val="single" w:sz="6" w:space="1" w:color="1F3864"/>
        </w:pBdr>
      </w:pPr>
      <w:r>
        <w:rPr>
          <w:rFonts w:ascii="Arial" w:hAnsi="Arial" w:eastAsia="Arial"/>
          <w:b/>
          <w:i w:val="0"/>
          <w:color w:val="1F3864"/>
          <w:sz w:val="18"/>
        </w:rPr>
        <w:t>EXPERIENCE</w:t>
      </w:r>
    </w:p>
    <w:p>
      <w:pPr>
        <w:spacing w:before="8" w:after="1" w:line="240" w:lineRule="auto"/>
      </w:pPr>
      <w:r>
        <w:rPr>
          <w:rFonts w:ascii="Arial" w:hAnsi="Arial" w:eastAsia="Arial"/>
          <w:b/>
          <w:i w:val="0"/>
          <w:color w:val="1E1E1E"/>
          <w:sz w:val="16"/>
        </w:rPr>
        <w:t>Data Analysis Intern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Licheng Holdings Group, Data Asset Division | Jan 2025 - Feb 2025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Benchmarked Minitab, SPSS and SAS-style statistical workflows to support DMS feature research, interface decomposition and requirement discussion.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Supported early-stage DMS platform testing and documentation, focusing on data preprocessing, structured management, statistical output interpretation and permissions/governance workflows.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Contributed to workflow analysis for a DeepSeek-enabled reporting/explanation module, with the project targeting a 40% improvement in report generation speed and estimating a 20% reduction in repetitive chart-explanation work.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Observed DeepSeek deployment and integration discussions while supporting research notes, test-case preparation and cross-functional communication across product, operations and business teams.</w:t>
      </w:r>
    </w:p>
    <w:p>
      <w:pPr>
        <w:spacing w:before="8" w:after="1" w:line="240" w:lineRule="auto"/>
      </w:pPr>
      <w:r>
        <w:rPr>
          <w:rFonts w:ascii="Arial" w:hAnsi="Arial" w:eastAsia="Arial"/>
          <w:b/>
          <w:i w:val="0"/>
          <w:color w:val="1E1E1E"/>
          <w:sz w:val="16"/>
        </w:rPr>
        <w:t>Sales Intern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Aerospace Information (Shandong) Technology Co., Ltd | Jul 2021 - Aug 2021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Recovered RMB 100,000+ in subscription/service receivables within one month and built an Excel tracker covering 4,000+ customer records, improving call-to-payment conversion by 4-5 percentage points.</w:t>
      </w:r>
    </w:p>
    <w:p>
      <w:pPr>
        <w:spacing w:before="36" w:after="9" w:line="240" w:lineRule="auto"/>
        <w:pBdr>
          <w:bottom w:val="single" w:sz="6" w:space="1" w:color="1F3864"/>
        </w:pBdr>
      </w:pPr>
      <w:r>
        <w:rPr>
          <w:rFonts w:ascii="Arial" w:hAnsi="Arial" w:eastAsia="Arial"/>
          <w:b/>
          <w:i w:val="0"/>
          <w:color w:val="1F3864"/>
          <w:sz w:val="18"/>
        </w:rPr>
        <w:t>SELECTED DATA &amp; APPLIED PROJECTS</w:t>
      </w:r>
    </w:p>
    <w:p>
      <w:pPr>
        <w:spacing w:before="8" w:after="1" w:line="240" w:lineRule="auto"/>
      </w:pPr>
      <w:r>
        <w:rPr>
          <w:rFonts w:ascii="Arial" w:hAnsi="Arial" w:eastAsia="Arial"/>
          <w:b/>
          <w:i w:val="0"/>
          <w:color w:val="1E1E1E"/>
          <w:sz w:val="16"/>
        </w:rPr>
        <w:t>UK Retail Transactions ETL, SQL Analysis &amp; BI Reporting Project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Independent Project | 2025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Cleaned and validated 524,878 analysis-ready transactions from approximately 1.6M UK retail records, using SQL rules to remove duplicates, invalid stock codes, missing descriptions and non-positive quantity/unit-price records.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Automated MySQL-to-Python extraction, analysed GBP 10.6m+ sales value with pandas/matplotlib, and structured KPI-ready narratives around monthly revenue, top products and revenue contribution.</w:t>
      </w:r>
    </w:p>
    <w:p>
      <w:pPr>
        <w:spacing w:before="8" w:after="1" w:line="240" w:lineRule="auto"/>
      </w:pPr>
      <w:r>
        <w:rPr>
          <w:rFonts w:ascii="Arial" w:hAnsi="Arial" w:eastAsia="Arial"/>
          <w:b/>
          <w:i w:val="0"/>
          <w:color w:val="1E1E1E"/>
          <w:sz w:val="16"/>
        </w:rPr>
        <w:t>Apple App Store SQL &amp; Python Analysis Project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Independent Project | 2026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Cleaned and analysed a 1.23M-record Apple App Store dataset using SQL and Python, building issue flags for missing values, date validity, price logic and app-size anomalies.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Analysed category mix, pricing models, developer performance and update trends; created summary tables and visualisations with pandas, matplotlib and seaborn.</w:t>
      </w:r>
    </w:p>
    <w:p>
      <w:pPr>
        <w:spacing w:before="8" w:after="1" w:line="240" w:lineRule="auto"/>
      </w:pPr>
      <w:r>
        <w:rPr>
          <w:rFonts w:ascii="Arial" w:hAnsi="Arial" w:eastAsia="Arial"/>
          <w:b/>
          <w:i w:val="0"/>
          <w:color w:val="1E1E1E"/>
          <w:sz w:val="16"/>
        </w:rPr>
        <w:t>AEP Workplace Wellbeing Questionnaire Prototype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Applied Research / Web Prototype | 2026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Translated wellbeing and student-to-work transition research into a structured questionnaire prototype covering job-search pressure, belonging, accessibility and career-readiness support.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Built a public-safe GitHub Pages preview and portfolio case-study assets to make the survey flow reviewable while avoiding private supervisor notes or internal proposal content.</w:t>
      </w:r>
    </w:p>
    <w:p>
      <w:pPr>
        <w:spacing w:before="8" w:after="1" w:line="240" w:lineRule="auto"/>
      </w:pPr>
      <w:r>
        <w:rPr>
          <w:rFonts w:ascii="Arial" w:hAnsi="Arial" w:eastAsia="Arial"/>
          <w:b/>
          <w:i w:val="0"/>
          <w:color w:val="1E1E1E"/>
          <w:sz w:val="16"/>
        </w:rPr>
        <w:t>Selected GitHub Tools &amp; Web Projects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Independent Projects | 2026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Built a bilingual React/TypeScript/Vite portfolio website and explored Next.js, Supabase Auth/Postgres, protected routes, local-first storage and Vercel deployment through small productivity/training-tracker tools.</w:t>
      </w:r>
    </w:p>
    <w:p>
      <w:pPr>
        <w:spacing w:before="36" w:after="9" w:line="240" w:lineRule="auto"/>
        <w:pBdr>
          <w:bottom w:val="single" w:sz="6" w:space="1" w:color="1F3864"/>
        </w:pBdr>
      </w:pPr>
      <w:r>
        <w:rPr>
          <w:rFonts w:ascii="Arial" w:hAnsi="Arial" w:eastAsia="Arial"/>
          <w:b/>
          <w:i w:val="0"/>
          <w:color w:val="1F3864"/>
          <w:sz w:val="18"/>
        </w:rPr>
        <w:t>AWARDS &amp; ADDITIONAL INFORMATION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Outstanding Graduate, Central University of Finance and Economics (2025); First Prize, China National Undergraduate Innovation, Creativity and Entrepreneurship Challenge, University Level (2023); Second Prize, CMAU, University Level (2023).</w:t>
      </w:r>
    </w:p>
    <w:p>
      <w:pPr>
        <w:pStyle w:val="ListBullet"/>
        <w:spacing w:before="0" w:after="6" w:line="240" w:lineRule="auto"/>
        <w:ind w:left="181" w:hanging="79"/>
      </w:pPr>
      <w:r>
        <w:rPr>
          <w:rFonts w:ascii="Arial" w:hAnsi="Arial" w:eastAsia="Arial"/>
          <w:b w:val="0"/>
          <w:i w:val="0"/>
          <w:color w:val="1E1E1E"/>
          <w:sz w:val="15"/>
        </w:rPr>
        <w:t>Languages: Chinese (native), English (fluent). Right-to-work evidence available through the official UK share code process when required.</w:t>
      </w:r>
    </w:p>
    <w:sectPr w:rsidR="00FC693F" w:rsidRPr="0006063C" w:rsidSect="00034616">
      <w:pgSz w:w="12240" w:h="15840"/>
      <w:pgMar w:top="442" w:right="595" w:bottom="351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6"/>
      <w:contextualSpacing/>
    </w:pPr>
    <w:rPr>
      <w:rFonts w:ascii="Arial" w:hAnsi="Arial" w:eastAsia="Arial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6"/>
      <w:contextualSpacing/>
    </w:pPr>
    <w:rPr>
      <w:rFonts w:ascii="Arial" w:hAnsi="Arial" w:eastAsia="Arial"/>
      <w:sz w:val="15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zs20030423@gmail.com" TargetMode="External"/><Relationship Id="rId10" Type="http://schemas.openxmlformats.org/officeDocument/2006/relationships/hyperlink" Target="https://www.linkedin.com/in/zishun-gao-81a73a384/" TargetMode="External"/><Relationship Id="rId11" Type="http://schemas.openxmlformats.org/officeDocument/2006/relationships/hyperlink" Target="https://stevenjobs530-afk.github.io/Zishun-Gao-Personal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