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64748B"/>
          <w:sz w:val="20"/>
        </w:rPr>
        <w:t>SYSTEMATIC LITERATURE REVIEW &amp; RESEARCH GAP ANALYSIS</w:t>
        <w:br/>
      </w:r>
      <w:r>
        <w:rPr>
          <w:b/>
          <w:color w:val="064E3B"/>
          <w:sz w:val="28"/>
        </w:rPr>
        <w:t>Kajian Komparatif Sistematis Metodologi Analisis Sentimen Isu Lingkungan, Energi Bersih, dan Ekonomi Hijau: Pemetaan Komparasi 10 Jurnal Terakreditasi dan Kesenjangan Riset (2024–2026)</w:t>
        <w:br/>
      </w:r>
    </w:p>
    <w:p>
      <w:pPr>
        <w:jc w:val="center"/>
      </w:pPr>
      <w:r>
        <w:rPr>
          <w:color w:val="64748B"/>
          <w:sz w:val="17"/>
        </w:rPr>
        <w:t>Penyusun: SteVenJr | Afiliasi: Riset Sains Data SentimentGreen | Tahun: 2026</w:t>
        <w:br/>
        <w:t>Aplikasi Web: https://sentimentgreen.vercel.app | Repo: github.com/stevenjr-yt/sentimen-ekonomi-hijau</w:t>
        <w:br/>
      </w:r>
    </w:p>
    <w:p>
      <w:pPr>
        <w:pStyle w:val="Heading2"/>
      </w:pPr>
      <w:r>
        <w:t>RINGKASAN EKSEKUTIF</w:t>
      </w:r>
    </w:p>
    <w:p>
      <w:r>
        <w:t>Tinjauan literatur sistematis ini menyajikan telaah mendalam terhadap publikasi ilmiah terkini (2024–2026) dalam domain analisis sentimen media sosial terkait diskursus transisi energi, kendaraan listrik, perubahan iklim, dan kebijakan ekonomi hijau. Melalui penelusuran terhadap pangkalan data akademik nasional dan internasional (Google Scholar, SINTA, Scopus, Garuda, IEEE Xplore), studi ini membandingkan sepuluh artikel acuan dengan arsitektur proyek SentimentGreen.</w:t>
      </w:r>
    </w:p>
    <w:p>
      <w:pPr>
        <w:pStyle w:val="Heading1"/>
      </w:pPr>
      <w:r>
        <w:t>MATRIKS PERBANDINGAN 10 JURNAL TERAKREDITASI</w:t>
      </w:r>
    </w:p>
    <w:tbl>
      <w:tblPr>
        <w:tblW w:type="auto" w:w="0"/>
        <w:jc w:val="center"/>
        <w:tblLayout w:type="fixed"/>
        <w:tblLook w:firstColumn="1" w:firstRow="1" w:lastColumn="0" w:lastRow="0" w:noHBand="0" w:noVBand="1" w:val="04A0"/>
      </w:tblPr>
      <w:tblGrid>
        <w:gridCol w:w="1440"/>
        <w:gridCol w:w="1440"/>
        <w:gridCol w:w="1440"/>
        <w:gridCol w:w="1440"/>
        <w:gridCol w:w="1440"/>
        <w:gridCol w:w="1440"/>
      </w:tblGrid>
      <w:tr>
        <w:tc>
          <w:tcPr>
            <w:tcW w:type="dxa" w:w="576"/>
            <w:shd w:val="clear" w:color="auto" w:fill="064E3B"/>
          </w:tcPr>
          <w:p>
            <w:pPr>
              <w:jc w:val="center"/>
            </w:pPr>
            <w:r>
              <w:rPr>
                <w:b/>
                <w:color w:val="FFFFFF"/>
                <w:sz w:val="18"/>
              </w:rPr>
              <w:t>No</w:t>
            </w:r>
          </w:p>
        </w:tc>
        <w:tc>
          <w:tcPr>
            <w:tcW w:type="dxa" w:w="2880"/>
            <w:shd w:val="clear" w:color="auto" w:fill="064E3B"/>
          </w:tcPr>
          <w:p>
            <w:pPr>
              <w:jc w:val="center"/>
            </w:pPr>
            <w:r>
              <w:rPr>
                <w:b/>
                <w:color w:val="FFFFFF"/>
                <w:sz w:val="18"/>
              </w:rPr>
              <w:t>Penulis &amp; Jurnal</w:t>
            </w:r>
          </w:p>
        </w:tc>
        <w:tc>
          <w:tcPr>
            <w:tcW w:type="dxa" w:w="1440"/>
            <w:shd w:val="clear" w:color="auto" w:fill="064E3B"/>
          </w:tcPr>
          <w:p>
            <w:pPr>
              <w:jc w:val="center"/>
            </w:pPr>
            <w:r>
              <w:rPr>
                <w:b/>
                <w:color w:val="FFFFFF"/>
                <w:sz w:val="18"/>
              </w:rPr>
              <w:t>Akreditasi</w:t>
            </w:r>
          </w:p>
        </w:tc>
        <w:tc>
          <w:tcPr>
            <w:tcW w:type="dxa" w:w="2592"/>
            <w:shd w:val="clear" w:color="auto" w:fill="064E3B"/>
          </w:tcPr>
          <w:p>
            <w:pPr>
              <w:jc w:val="center"/>
            </w:pPr>
            <w:r>
              <w:rPr>
                <w:b/>
                <w:color w:val="FFFFFF"/>
                <w:sz w:val="18"/>
              </w:rPr>
              <w:t>Metode</w:t>
            </w:r>
          </w:p>
        </w:tc>
        <w:tc>
          <w:tcPr>
            <w:tcW w:type="dxa" w:w="1440"/>
            <w:shd w:val="clear" w:color="auto" w:fill="064E3B"/>
          </w:tcPr>
          <w:p>
            <w:pPr>
              <w:jc w:val="center"/>
            </w:pPr>
            <w:r>
              <w:rPr>
                <w:b/>
                <w:color w:val="FFFFFF"/>
                <w:sz w:val="18"/>
              </w:rPr>
              <w:t>Dataset</w:t>
            </w:r>
          </w:p>
        </w:tc>
        <w:tc>
          <w:tcPr>
            <w:tcW w:type="dxa" w:w="2880"/>
            <w:shd w:val="clear" w:color="auto" w:fill="064E3B"/>
          </w:tcPr>
          <w:p>
            <w:pPr>
              <w:jc w:val="center"/>
            </w:pPr>
            <w:r>
              <w:rPr>
                <w:b/>
                <w:color w:val="FFFFFF"/>
                <w:sz w:val="18"/>
              </w:rPr>
              <w:t>Temuan &amp; Research Gap</w:t>
            </w:r>
          </w:p>
        </w:tc>
      </w:tr>
      <w:tr>
        <w:tc>
          <w:tcPr>
            <w:tcW w:type="dxa" w:w="576"/>
            <w:shd w:val="clear" w:color="auto" w:fill="FFFFFF"/>
          </w:tcPr>
          <w:p>
            <w:r>
              <w:rPr>
                <w:sz w:val="17"/>
              </w:rPr>
              <w:t>1</w:t>
            </w:r>
          </w:p>
        </w:tc>
        <w:tc>
          <w:tcPr>
            <w:tcW w:type="dxa" w:w="2880"/>
            <w:shd w:val="clear" w:color="auto" w:fill="FFFFFF"/>
          </w:tcPr>
          <w:p>
            <w:r>
              <w:rPr>
                <w:sz w:val="17"/>
              </w:rPr>
              <w:t>Merdiansah et al. (2024) - JIKOMSI</w:t>
            </w:r>
          </w:p>
        </w:tc>
        <w:tc>
          <w:tcPr>
            <w:tcW w:type="dxa" w:w="1440"/>
            <w:shd w:val="clear" w:color="auto" w:fill="FFFFFF"/>
          </w:tcPr>
          <w:p>
            <w:r>
              <w:rPr>
                <w:sz w:val="17"/>
              </w:rPr>
              <w:t>SINTA 3</w:t>
            </w:r>
          </w:p>
        </w:tc>
        <w:tc>
          <w:tcPr>
            <w:tcW w:type="dxa" w:w="2592"/>
            <w:shd w:val="clear" w:color="auto" w:fill="FFFFFF"/>
          </w:tcPr>
          <w:p>
            <w:r>
              <w:rPr>
                <w:sz w:val="17"/>
              </w:rPr>
              <w:t>IndoBERT + Fine-tuning IndoNLU</w:t>
            </w:r>
          </w:p>
        </w:tc>
        <w:tc>
          <w:tcPr>
            <w:tcW w:type="dxa" w:w="1440"/>
            <w:shd w:val="clear" w:color="auto" w:fill="FFFFFF"/>
          </w:tcPr>
          <w:p>
            <w:r>
              <w:rPr>
                <w:sz w:val="17"/>
              </w:rPr>
              <w:t>Tweet EV</w:t>
            </w:r>
          </w:p>
        </w:tc>
        <w:tc>
          <w:tcPr>
            <w:tcW w:type="dxa" w:w="2880"/>
            <w:shd w:val="clear" w:color="auto" w:fill="FFFFFF"/>
          </w:tcPr>
          <w:p>
            <w:r>
              <w:rPr>
                <w:sz w:val="17"/>
              </w:rPr>
              <w:t>Fine-tuning unggul. Gap: Topik sempit pada EV.</w:t>
            </w:r>
          </w:p>
        </w:tc>
      </w:tr>
      <w:tr>
        <w:tc>
          <w:tcPr>
            <w:tcW w:type="dxa" w:w="576"/>
            <w:shd w:val="clear" w:color="auto" w:fill="F8FAFC"/>
          </w:tcPr>
          <w:p>
            <w:r>
              <w:rPr>
                <w:sz w:val="17"/>
              </w:rPr>
              <w:t>2</w:t>
            </w:r>
          </w:p>
        </w:tc>
        <w:tc>
          <w:tcPr>
            <w:tcW w:type="dxa" w:w="2880"/>
            <w:shd w:val="clear" w:color="auto" w:fill="F8FAFC"/>
          </w:tcPr>
          <w:p>
            <w:r>
              <w:rPr>
                <w:sz w:val="17"/>
              </w:rPr>
              <w:t>Hendrawan &amp; Kusmiyati (2024) - CESS</w:t>
            </w:r>
          </w:p>
        </w:tc>
        <w:tc>
          <w:tcPr>
            <w:tcW w:type="dxa" w:w="1440"/>
            <w:shd w:val="clear" w:color="auto" w:fill="F8FAFC"/>
          </w:tcPr>
          <w:p>
            <w:r>
              <w:rPr>
                <w:sz w:val="17"/>
              </w:rPr>
              <w:t>SINTA 2</w:t>
            </w:r>
          </w:p>
        </w:tc>
        <w:tc>
          <w:tcPr>
            <w:tcW w:type="dxa" w:w="2592"/>
            <w:shd w:val="clear" w:color="auto" w:fill="F8FAFC"/>
          </w:tcPr>
          <w:p>
            <w:r>
              <w:rPr>
                <w:sz w:val="17"/>
              </w:rPr>
              <w:t>Multinomial NB vs Linear SVM</w:t>
            </w:r>
          </w:p>
        </w:tc>
        <w:tc>
          <w:tcPr>
            <w:tcW w:type="dxa" w:w="1440"/>
            <w:shd w:val="clear" w:color="auto" w:fill="F8FAFC"/>
          </w:tcPr>
          <w:p>
            <w:r>
              <w:rPr>
                <w:sz w:val="17"/>
              </w:rPr>
              <w:t>Tweet EV</w:t>
            </w:r>
          </w:p>
        </w:tc>
        <w:tc>
          <w:tcPr>
            <w:tcW w:type="dxa" w:w="2880"/>
            <w:shd w:val="clear" w:color="auto" w:fill="F8FAFC"/>
          </w:tcPr>
          <w:p>
            <w:r>
              <w:rPr>
                <w:sz w:val="17"/>
              </w:rPr>
              <w:t>SVM unggul. Gap: Tanpa penyeimbang bobot kelas.</w:t>
            </w:r>
          </w:p>
        </w:tc>
      </w:tr>
      <w:tr>
        <w:tc>
          <w:tcPr>
            <w:tcW w:type="dxa" w:w="576"/>
            <w:shd w:val="clear" w:color="auto" w:fill="FFFFFF"/>
          </w:tcPr>
          <w:p>
            <w:r>
              <w:rPr>
                <w:sz w:val="17"/>
              </w:rPr>
              <w:t>3</w:t>
            </w:r>
          </w:p>
        </w:tc>
        <w:tc>
          <w:tcPr>
            <w:tcW w:type="dxa" w:w="2880"/>
            <w:shd w:val="clear" w:color="auto" w:fill="FFFFFF"/>
          </w:tcPr>
          <w:p>
            <w:r>
              <w:rPr>
                <w:sz w:val="17"/>
              </w:rPr>
              <w:t>Prameswari et al. (2024) - Innovative</w:t>
            </w:r>
          </w:p>
        </w:tc>
        <w:tc>
          <w:tcPr>
            <w:tcW w:type="dxa" w:w="1440"/>
            <w:shd w:val="clear" w:color="auto" w:fill="FFFFFF"/>
          </w:tcPr>
          <w:p>
            <w:r>
              <w:rPr>
                <w:sz w:val="17"/>
              </w:rPr>
              <w:t>SINTA 4</w:t>
            </w:r>
          </w:p>
        </w:tc>
        <w:tc>
          <w:tcPr>
            <w:tcW w:type="dxa" w:w="2592"/>
            <w:shd w:val="clear" w:color="auto" w:fill="FFFFFF"/>
          </w:tcPr>
          <w:p>
            <w:r>
              <w:rPr>
                <w:sz w:val="17"/>
              </w:rPr>
              <w:t>SVM, Naive Bayes, Random Forest</w:t>
            </w:r>
          </w:p>
        </w:tc>
        <w:tc>
          <w:tcPr>
            <w:tcW w:type="dxa" w:w="1440"/>
            <w:shd w:val="clear" w:color="auto" w:fill="FFFFFF"/>
          </w:tcPr>
          <w:p>
            <w:r>
              <w:rPr>
                <w:sz w:val="17"/>
              </w:rPr>
              <w:t>Twitter EV</w:t>
            </w:r>
          </w:p>
        </w:tc>
        <w:tc>
          <w:tcPr>
            <w:tcW w:type="dxa" w:w="2880"/>
            <w:shd w:val="clear" w:color="auto" w:fill="FFFFFF"/>
          </w:tcPr>
          <w:p>
            <w:r>
              <w:rPr>
                <w:sz w:val="17"/>
              </w:rPr>
              <w:t>SVM terbaik. Gap: Mengabaikan Macro F1.</w:t>
            </w:r>
          </w:p>
        </w:tc>
      </w:tr>
      <w:tr>
        <w:tc>
          <w:tcPr>
            <w:tcW w:type="dxa" w:w="576"/>
            <w:shd w:val="clear" w:color="auto" w:fill="F8FAFC"/>
          </w:tcPr>
          <w:p>
            <w:r>
              <w:rPr>
                <w:sz w:val="17"/>
              </w:rPr>
              <w:t>4</w:t>
            </w:r>
          </w:p>
        </w:tc>
        <w:tc>
          <w:tcPr>
            <w:tcW w:type="dxa" w:w="2880"/>
            <w:shd w:val="clear" w:color="auto" w:fill="F8FAFC"/>
          </w:tcPr>
          <w:p>
            <w:r>
              <w:rPr>
                <w:sz w:val="17"/>
              </w:rPr>
              <w:t>Hidayatullah et al. (2024) - JournalISI</w:t>
            </w:r>
          </w:p>
        </w:tc>
        <w:tc>
          <w:tcPr>
            <w:tcW w:type="dxa" w:w="1440"/>
            <w:shd w:val="clear" w:color="auto" w:fill="F8FAFC"/>
          </w:tcPr>
          <w:p>
            <w:r>
              <w:rPr>
                <w:sz w:val="17"/>
              </w:rPr>
              <w:t>SINTA 3</w:t>
            </w:r>
          </w:p>
        </w:tc>
        <w:tc>
          <w:tcPr>
            <w:tcW w:type="dxa" w:w="2592"/>
            <w:shd w:val="clear" w:color="auto" w:fill="F8FAFC"/>
          </w:tcPr>
          <w:p>
            <w:r>
              <w:rPr>
                <w:sz w:val="17"/>
              </w:rPr>
              <w:t>FastText + IndoBERT Transformer</w:t>
            </w:r>
          </w:p>
        </w:tc>
        <w:tc>
          <w:tcPr>
            <w:tcW w:type="dxa" w:w="1440"/>
            <w:shd w:val="clear" w:color="auto" w:fill="F8FAFC"/>
          </w:tcPr>
          <w:p>
            <w:r>
              <w:rPr>
                <w:sz w:val="17"/>
              </w:rPr>
              <w:t>119k Tweet EV</w:t>
            </w:r>
          </w:p>
        </w:tc>
        <w:tc>
          <w:tcPr>
            <w:tcW w:type="dxa" w:w="2880"/>
            <w:shd w:val="clear" w:color="auto" w:fill="F8FAFC"/>
          </w:tcPr>
          <w:p>
            <w:r>
              <w:rPr>
                <w:sz w:val="17"/>
              </w:rPr>
              <w:t>82,5% akurasi. Gap: Wajib GPU berat, tidak ada offline web.</w:t>
            </w:r>
          </w:p>
        </w:tc>
      </w:tr>
      <w:tr>
        <w:tc>
          <w:tcPr>
            <w:tcW w:type="dxa" w:w="576"/>
            <w:shd w:val="clear" w:color="auto" w:fill="FFFFFF"/>
          </w:tcPr>
          <w:p>
            <w:r>
              <w:rPr>
                <w:sz w:val="17"/>
              </w:rPr>
              <w:t>5</w:t>
            </w:r>
          </w:p>
        </w:tc>
        <w:tc>
          <w:tcPr>
            <w:tcW w:type="dxa" w:w="2880"/>
            <w:shd w:val="clear" w:color="auto" w:fill="FFFFFF"/>
          </w:tcPr>
          <w:p>
            <w:r>
              <w:rPr>
                <w:sz w:val="17"/>
              </w:rPr>
              <w:t>Firmansyah &amp; Pratama (2024) - JIMIK</w:t>
            </w:r>
          </w:p>
        </w:tc>
        <w:tc>
          <w:tcPr>
            <w:tcW w:type="dxa" w:w="1440"/>
            <w:shd w:val="clear" w:color="auto" w:fill="FFFFFF"/>
          </w:tcPr>
          <w:p>
            <w:r>
              <w:rPr>
                <w:sz w:val="17"/>
              </w:rPr>
              <w:t>SINTA 4</w:t>
            </w:r>
          </w:p>
        </w:tc>
        <w:tc>
          <w:tcPr>
            <w:tcW w:type="dxa" w:w="2592"/>
            <w:shd w:val="clear" w:color="auto" w:fill="FFFFFF"/>
          </w:tcPr>
          <w:p>
            <w:r>
              <w:rPr>
                <w:sz w:val="17"/>
              </w:rPr>
              <w:t>Multinomial Naive Bayes (TF-IDF)</w:t>
            </w:r>
          </w:p>
        </w:tc>
        <w:tc>
          <w:tcPr>
            <w:tcW w:type="dxa" w:w="1440"/>
            <w:shd w:val="clear" w:color="auto" w:fill="FFFFFF"/>
          </w:tcPr>
          <w:p>
            <w:r>
              <w:rPr>
                <w:sz w:val="17"/>
              </w:rPr>
              <w:t>Motor Listrik</w:t>
            </w:r>
          </w:p>
        </w:tc>
        <w:tc>
          <w:tcPr>
            <w:tcW w:type="dxa" w:w="2880"/>
            <w:shd w:val="clear" w:color="auto" w:fill="FFFFFF"/>
          </w:tcPr>
          <w:p>
            <w:r>
              <w:rPr>
                <w:sz w:val="17"/>
              </w:rPr>
              <w:t>71,2% akurasi. Gap: Recall collapse kelas minoritas.</w:t>
            </w:r>
          </w:p>
        </w:tc>
      </w:tr>
      <w:tr>
        <w:tc>
          <w:tcPr>
            <w:tcW w:type="dxa" w:w="576"/>
            <w:shd w:val="clear" w:color="auto" w:fill="F8FAFC"/>
          </w:tcPr>
          <w:p>
            <w:r>
              <w:rPr>
                <w:sz w:val="17"/>
              </w:rPr>
              <w:t>6</w:t>
            </w:r>
          </w:p>
        </w:tc>
        <w:tc>
          <w:tcPr>
            <w:tcW w:type="dxa" w:w="2880"/>
            <w:shd w:val="clear" w:color="auto" w:fill="F8FAFC"/>
          </w:tcPr>
          <w:p>
            <w:r>
              <w:rPr>
                <w:sz w:val="17"/>
              </w:rPr>
              <w:t>Maharani et al. (2024) - BITS</w:t>
            </w:r>
          </w:p>
        </w:tc>
        <w:tc>
          <w:tcPr>
            <w:tcW w:type="dxa" w:w="1440"/>
            <w:shd w:val="clear" w:color="auto" w:fill="F8FAFC"/>
          </w:tcPr>
          <w:p>
            <w:r>
              <w:rPr>
                <w:sz w:val="17"/>
              </w:rPr>
              <w:t>SINTA 3</w:t>
            </w:r>
          </w:p>
        </w:tc>
        <w:tc>
          <w:tcPr>
            <w:tcW w:type="dxa" w:w="2592"/>
            <w:shd w:val="clear" w:color="auto" w:fill="F8FAFC"/>
          </w:tcPr>
          <w:p>
            <w:r>
              <w:rPr>
                <w:sz w:val="17"/>
              </w:rPr>
              <w:t>SVM vs Naive Bayes (Platform X)</w:t>
            </w:r>
          </w:p>
        </w:tc>
        <w:tc>
          <w:tcPr>
            <w:tcW w:type="dxa" w:w="1440"/>
            <w:shd w:val="clear" w:color="auto" w:fill="F8FAFC"/>
          </w:tcPr>
          <w:p>
            <w:r>
              <w:rPr>
                <w:sz w:val="17"/>
              </w:rPr>
              <w:t>Opini Publik X</w:t>
            </w:r>
          </w:p>
        </w:tc>
        <w:tc>
          <w:tcPr>
            <w:tcW w:type="dxa" w:w="2880"/>
            <w:shd w:val="clear" w:color="auto" w:fill="F8FAFC"/>
          </w:tcPr>
          <w:p>
            <w:r>
              <w:rPr>
                <w:sz w:val="17"/>
              </w:rPr>
              <w:t>76,4% akurasi. Gap: Belum domain iklim holistik.</w:t>
            </w:r>
          </w:p>
        </w:tc>
      </w:tr>
      <w:tr>
        <w:tc>
          <w:tcPr>
            <w:tcW w:type="dxa" w:w="576"/>
            <w:shd w:val="clear" w:color="auto" w:fill="FFFFFF"/>
          </w:tcPr>
          <w:p>
            <w:r>
              <w:rPr>
                <w:sz w:val="17"/>
              </w:rPr>
              <w:t>7</w:t>
            </w:r>
          </w:p>
        </w:tc>
        <w:tc>
          <w:tcPr>
            <w:tcW w:type="dxa" w:w="2880"/>
            <w:shd w:val="clear" w:color="auto" w:fill="FFFFFF"/>
          </w:tcPr>
          <w:p>
            <w:r>
              <w:rPr>
                <w:sz w:val="17"/>
              </w:rPr>
              <w:t>Supian et al. (2024) - JIF</w:t>
            </w:r>
          </w:p>
        </w:tc>
        <w:tc>
          <w:tcPr>
            <w:tcW w:type="dxa" w:w="1440"/>
            <w:shd w:val="clear" w:color="auto" w:fill="FFFFFF"/>
          </w:tcPr>
          <w:p>
            <w:r>
              <w:rPr>
                <w:sz w:val="17"/>
              </w:rPr>
              <w:t>SINTA 4</w:t>
            </w:r>
          </w:p>
        </w:tc>
        <w:tc>
          <w:tcPr>
            <w:tcW w:type="dxa" w:w="2592"/>
            <w:shd w:val="clear" w:color="auto" w:fill="FFFFFF"/>
          </w:tcPr>
          <w:p>
            <w:r>
              <w:rPr>
                <w:sz w:val="17"/>
              </w:rPr>
              <w:t>Naive Bayes vs Linear SVM</w:t>
            </w:r>
          </w:p>
        </w:tc>
        <w:tc>
          <w:tcPr>
            <w:tcW w:type="dxa" w:w="1440"/>
            <w:shd w:val="clear" w:color="auto" w:fill="FFFFFF"/>
          </w:tcPr>
          <w:p>
            <w:r>
              <w:rPr>
                <w:sz w:val="17"/>
              </w:rPr>
              <w:t>Green City IKN</w:t>
            </w:r>
          </w:p>
        </w:tc>
        <w:tc>
          <w:tcPr>
            <w:tcW w:type="dxa" w:w="2880"/>
            <w:shd w:val="clear" w:color="auto" w:fill="FFFFFF"/>
          </w:tcPr>
          <w:p>
            <w:r>
              <w:rPr>
                <w:sz w:val="17"/>
              </w:rPr>
              <w:t>SVM unggul F1. Gap: Korpus kecil (&lt;1.500 tweet).</w:t>
            </w:r>
          </w:p>
        </w:tc>
      </w:tr>
      <w:tr>
        <w:tc>
          <w:tcPr>
            <w:tcW w:type="dxa" w:w="576"/>
            <w:shd w:val="clear" w:color="auto" w:fill="F8FAFC"/>
          </w:tcPr>
          <w:p>
            <w:r>
              <w:rPr>
                <w:sz w:val="17"/>
              </w:rPr>
              <w:t>8</w:t>
            </w:r>
          </w:p>
        </w:tc>
        <w:tc>
          <w:tcPr>
            <w:tcW w:type="dxa" w:w="2880"/>
            <w:shd w:val="clear" w:color="auto" w:fill="F8FAFC"/>
          </w:tcPr>
          <w:p>
            <w:r>
              <w:rPr>
                <w:sz w:val="17"/>
              </w:rPr>
              <w:t>Lennon et al. (2024) - Elsevier DiB</w:t>
            </w:r>
          </w:p>
        </w:tc>
        <w:tc>
          <w:tcPr>
            <w:tcW w:type="dxa" w:w="1440"/>
            <w:shd w:val="clear" w:color="auto" w:fill="F8FAFC"/>
          </w:tcPr>
          <w:p>
            <w:r>
              <w:rPr>
                <w:sz w:val="17"/>
              </w:rPr>
              <w:t>SCOPUS Q1</w:t>
            </w:r>
          </w:p>
        </w:tc>
        <w:tc>
          <w:tcPr>
            <w:tcW w:type="dxa" w:w="2592"/>
            <w:shd w:val="clear" w:color="auto" w:fill="F8FAFC"/>
          </w:tcPr>
          <w:p>
            <w:r>
              <w:rPr>
                <w:sz w:val="17"/>
              </w:rPr>
              <w:t>Twitter Climate Policy Tracking</w:t>
            </w:r>
          </w:p>
        </w:tc>
        <w:tc>
          <w:tcPr>
            <w:tcW w:type="dxa" w:w="1440"/>
            <w:shd w:val="clear" w:color="auto" w:fill="F8FAFC"/>
          </w:tcPr>
          <w:p>
            <w:r>
              <w:rPr>
                <w:sz w:val="17"/>
              </w:rPr>
              <w:t>Global Climate</w:t>
            </w:r>
          </w:p>
        </w:tc>
        <w:tc>
          <w:tcPr>
            <w:tcW w:type="dxa" w:w="2880"/>
            <w:shd w:val="clear" w:color="auto" w:fill="F8FAFC"/>
          </w:tcPr>
          <w:p>
            <w:r>
              <w:rPr>
                <w:sz w:val="17"/>
              </w:rPr>
              <w:t>Benchmarking Q1. Gap: Raw data tanpa inferensi web.</w:t>
            </w:r>
          </w:p>
        </w:tc>
      </w:tr>
      <w:tr>
        <w:tc>
          <w:tcPr>
            <w:tcW w:type="dxa" w:w="576"/>
            <w:shd w:val="clear" w:color="auto" w:fill="FFFFFF"/>
          </w:tcPr>
          <w:p>
            <w:r>
              <w:rPr>
                <w:sz w:val="17"/>
              </w:rPr>
              <w:t>9</w:t>
            </w:r>
          </w:p>
        </w:tc>
        <w:tc>
          <w:tcPr>
            <w:tcW w:type="dxa" w:w="2880"/>
            <w:shd w:val="clear" w:color="auto" w:fill="FFFFFF"/>
          </w:tcPr>
          <w:p>
            <w:r>
              <w:rPr>
                <w:sz w:val="17"/>
              </w:rPr>
              <w:t>Ramasamy et al. (2024) - IEEE ICNWC</w:t>
            </w:r>
          </w:p>
        </w:tc>
        <w:tc>
          <w:tcPr>
            <w:tcW w:type="dxa" w:w="1440"/>
            <w:shd w:val="clear" w:color="auto" w:fill="FFFFFF"/>
          </w:tcPr>
          <w:p>
            <w:r>
              <w:rPr>
                <w:sz w:val="17"/>
              </w:rPr>
              <w:t>SCOPUS</w:t>
            </w:r>
          </w:p>
        </w:tc>
        <w:tc>
          <w:tcPr>
            <w:tcW w:type="dxa" w:w="2592"/>
            <w:shd w:val="clear" w:color="auto" w:fill="FFFFFF"/>
          </w:tcPr>
          <w:p>
            <w:r>
              <w:rPr>
                <w:sz w:val="17"/>
              </w:rPr>
              <w:t>SVM Classifier on Climate Tweets</w:t>
            </w:r>
          </w:p>
        </w:tc>
        <w:tc>
          <w:tcPr>
            <w:tcW w:type="dxa" w:w="1440"/>
            <w:shd w:val="clear" w:color="auto" w:fill="FFFFFF"/>
          </w:tcPr>
          <w:p>
            <w:r>
              <w:rPr>
                <w:sz w:val="17"/>
              </w:rPr>
              <w:t>English Twitter</w:t>
            </w:r>
          </w:p>
        </w:tc>
        <w:tc>
          <w:tcPr>
            <w:tcW w:type="dxa" w:w="2880"/>
            <w:shd w:val="clear" w:color="auto" w:fill="FFFFFF"/>
          </w:tcPr>
          <w:p>
            <w:r>
              <w:rPr>
                <w:sz w:val="17"/>
              </w:rPr>
              <w:t>SVM tangguh pada sparse space. Gap: Tanpa web app.</w:t>
            </w:r>
          </w:p>
        </w:tc>
      </w:tr>
      <w:tr>
        <w:tc>
          <w:tcPr>
            <w:tcW w:type="dxa" w:w="576"/>
            <w:shd w:val="clear" w:color="auto" w:fill="F8FAFC"/>
          </w:tcPr>
          <w:p>
            <w:r>
              <w:rPr>
                <w:sz w:val="17"/>
              </w:rPr>
              <w:t>10</w:t>
            </w:r>
          </w:p>
        </w:tc>
        <w:tc>
          <w:tcPr>
            <w:tcW w:type="dxa" w:w="2880"/>
            <w:shd w:val="clear" w:color="auto" w:fill="F8FAFC"/>
          </w:tcPr>
          <w:p>
            <w:r>
              <w:rPr>
                <w:sz w:val="17"/>
              </w:rPr>
              <w:t>Edward Qian (Benchmark) - Kaggle</w:t>
            </w:r>
          </w:p>
        </w:tc>
        <w:tc>
          <w:tcPr>
            <w:tcW w:type="dxa" w:w="1440"/>
            <w:shd w:val="clear" w:color="auto" w:fill="F8FAFC"/>
          </w:tcPr>
          <w:p>
            <w:r>
              <w:rPr>
                <w:sz w:val="17"/>
              </w:rPr>
              <w:t>BENCHMARK</w:t>
            </w:r>
          </w:p>
        </w:tc>
        <w:tc>
          <w:tcPr>
            <w:tcW w:type="dxa" w:w="2592"/>
            <w:shd w:val="clear" w:color="auto" w:fill="F8FAFC"/>
          </w:tcPr>
          <w:p>
            <w:r>
              <w:rPr>
                <w:sz w:val="17"/>
              </w:rPr>
              <w:t>Benchmark Dataset (43.943 data)</w:t>
            </w:r>
          </w:p>
        </w:tc>
        <w:tc>
          <w:tcPr>
            <w:tcW w:type="dxa" w:w="1440"/>
            <w:shd w:val="clear" w:color="auto" w:fill="F8FAFC"/>
          </w:tcPr>
          <w:p>
            <w:r>
              <w:rPr>
                <w:sz w:val="17"/>
              </w:rPr>
              <w:t>Global Climate</w:t>
            </w:r>
          </w:p>
        </w:tc>
        <w:tc>
          <w:tcPr>
            <w:tcW w:type="dxa" w:w="2880"/>
            <w:shd w:val="clear" w:color="auto" w:fill="F8FAFC"/>
          </w:tcPr>
          <w:p>
            <w:r>
              <w:rPr>
                <w:sz w:val="17"/>
              </w:rPr>
              <w:t>Dataset acuan. Gap: Memuat noise berita &amp; duplikasi.</w:t>
            </w:r>
          </w:p>
        </w:tc>
      </w:tr>
      <w:tr>
        <w:tc>
          <w:tcPr>
            <w:tcW w:type="dxa" w:w="576"/>
            <w:shd w:val="clear" w:color="auto" w:fill="FFFFFF"/>
          </w:tcPr>
          <w:p>
            <w:r>
              <w:rPr>
                <w:sz w:val="17"/>
              </w:rPr>
              <w:t>★</w:t>
            </w:r>
          </w:p>
        </w:tc>
        <w:tc>
          <w:tcPr>
            <w:tcW w:type="dxa" w:w="2880"/>
            <w:shd w:val="clear" w:color="auto" w:fill="FFFFFF"/>
          </w:tcPr>
          <w:p>
            <w:r>
              <w:rPr>
                <w:sz w:val="17"/>
              </w:rPr>
              <w:t>SentimentGreen (2026) - Proyek Ini</w:t>
            </w:r>
          </w:p>
        </w:tc>
        <w:tc>
          <w:tcPr>
            <w:tcW w:type="dxa" w:w="1440"/>
            <w:shd w:val="clear" w:color="auto" w:fill="FFFFFF"/>
          </w:tcPr>
          <w:p>
            <w:r>
              <w:rPr>
                <w:sz w:val="17"/>
              </w:rPr>
              <w:t>OPEN-SCIENCE</w:t>
            </w:r>
          </w:p>
        </w:tc>
        <w:tc>
          <w:tcPr>
            <w:tcW w:type="dxa" w:w="2592"/>
            <w:shd w:val="clear" w:color="auto" w:fill="FFFFFF"/>
          </w:tcPr>
          <w:p>
            <w:r>
              <w:rPr>
                <w:sz w:val="17"/>
              </w:rPr>
              <w:t>TF-IDF (1,2) + Linear SVM (Balanced)</w:t>
            </w:r>
          </w:p>
        </w:tc>
        <w:tc>
          <w:tcPr>
            <w:tcW w:type="dxa" w:w="1440"/>
            <w:shd w:val="clear" w:color="auto" w:fill="FFFFFF"/>
          </w:tcPr>
          <w:p>
            <w:r>
              <w:rPr>
                <w:sz w:val="17"/>
              </w:rPr>
              <w:t>31.907 Tweet</w:t>
            </w:r>
          </w:p>
        </w:tc>
        <w:tc>
          <w:tcPr>
            <w:tcW w:type="dxa" w:w="2880"/>
            <w:shd w:val="clear" w:color="auto" w:fill="FFFFFF"/>
          </w:tcPr>
          <w:p>
            <w:r>
              <w:rPr>
                <w:sz w:val="17"/>
              </w:rPr>
              <w:t>Menutup 5 Gap: Domain holistik, atasi imbalance, inferensi 100% offline.</w:t>
            </w:r>
          </w:p>
        </w:tc>
      </w:tr>
    </w:tbl>
    <w:p/>
    <w:p>
      <w:pPr>
        <w:pStyle w:val="Heading1"/>
      </w:pPr>
      <w:r>
        <w:t>5 KESENJANGAN RISET UTAMA (RESEARCH GAPS)</w:t>
      </w:r>
    </w:p>
    <w:p>
      <w:pPr>
        <w:pStyle w:val="ListBullet"/>
      </w:pPr>
      <w:r>
        <w:t>1. Kesenjangan Topik (Thematic Scope Gap): Semua jurnal 2024 hanya fokus sempit pada kendaraan listrik. SentimentGreen memperluas ke seluruh pilar ekonomi hijau (surya, angin, pajak karbon, dll).</w:t>
      </w:r>
    </w:p>
    <w:p>
      <w:pPr>
        <w:pStyle w:val="ListBullet"/>
      </w:pPr>
      <w:r>
        <w:t>2. Kesenjangan Skala Data (Scale &amp; Language Gap): Penelitian lokal memakai data kecil (&lt;2.000). SentimentGreen mengkaji korpus global 31.907 tweet berdurasi 11 tahun.</w:t>
      </w:r>
    </w:p>
    <w:p>
      <w:pPr>
        <w:pStyle w:val="ListBullet"/>
      </w:pPr>
      <w:r>
        <w:t>3. Kesenjangan Deployment (Zero-Server Gap): Jurnal lain hanya berhenti di file Python. SentimentGreen mengekspor model ke JSON murni untuk inferensi 100% offline di browser.</w:t>
      </w:r>
    </w:p>
    <w:p>
      <w:pPr>
        <w:pStyle w:val="ListBullet"/>
      </w:pPr>
      <w:r>
        <w:t>4. Kesenjangan Imbalance (Class Imbalance Gap): Mengatasi recall collapse kelas negatif menggunakan class_weight='balanced' pada SVM (recall naik dari 34,81% ke 60,13%).</w:t>
      </w:r>
    </w:p>
    <w:p>
      <w:pPr>
        <w:pStyle w:val="ListBullet"/>
      </w:pPr>
      <w:r>
        <w:t>5. Kesenjangan Replikasi (Pipeline Replication Gap): Standarisasi Porter Stemmer dan stopword removal identik bit-demi-bit antara Python dan JavaScript.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