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2C40" w:rsidRPr="00EC2C40" w:rsidRDefault="00EC2C40" w:rsidP="00EC2C40">
      <w:pPr>
        <w:pStyle w:val="Heading1"/>
        <w:rPr>
          <w:b/>
          <w:color w:val="000000" w:themeColor="text1"/>
        </w:rPr>
      </w:pPr>
      <w:r w:rsidRPr="00EC2C40">
        <w:rPr>
          <w:b/>
          <w:color w:val="000000" w:themeColor="text1"/>
        </w:rPr>
        <w:t>Phase 0: Setup and Source Inventory</w:t>
      </w:r>
    </w:p>
    <w:p w:rsidR="00EC2C40" w:rsidRPr="00EC2C40" w:rsidRDefault="00EC2C40" w:rsidP="00EC2C40">
      <w:pPr>
        <w:pStyle w:val="Heading2"/>
        <w:rPr>
          <w:color w:val="000000" w:themeColor="text1"/>
        </w:rPr>
      </w:pPr>
      <w:r w:rsidRPr="00EC2C40">
        <w:rPr>
          <w:color w:val="000000" w:themeColor="text1"/>
        </w:rPr>
        <w:t xml:space="preserve">Case Study: </w:t>
      </w:r>
      <w:proofErr w:type="spellStart"/>
      <w:r w:rsidRPr="00EC2C40">
        <w:rPr>
          <w:color w:val="000000" w:themeColor="text1"/>
        </w:rPr>
        <w:t>Mulago</w:t>
      </w:r>
      <w:proofErr w:type="spellEnd"/>
      <w:r w:rsidRPr="00EC2C40">
        <w:rPr>
          <w:color w:val="000000" w:themeColor="text1"/>
        </w:rPr>
        <w:t xml:space="preserve"> National Referral Hospital</w:t>
      </w:r>
    </w:p>
    <w:p w:rsidR="00EC2C40" w:rsidRDefault="00EC2C40" w:rsidP="00EC2C40">
      <w:pPr>
        <w:pStyle w:val="NormalWeb"/>
        <w:rPr>
          <w:color w:val="000000" w:themeColor="text1"/>
        </w:rPr>
      </w:pPr>
      <w:proofErr w:type="spellStart"/>
      <w:r w:rsidRPr="00EC2C40">
        <w:rPr>
          <w:color w:val="000000" w:themeColor="text1"/>
        </w:rPr>
        <w:t>Mulago</w:t>
      </w:r>
      <w:proofErr w:type="spellEnd"/>
      <w:r w:rsidRPr="00EC2C40">
        <w:rPr>
          <w:color w:val="000000" w:themeColor="text1"/>
        </w:rPr>
        <w:t xml:space="preserve"> National Referral Hospital </w:t>
      </w:r>
    </w:p>
    <w:p w:rsidR="00EC2C40" w:rsidRDefault="00EC2C40" w:rsidP="00EC2C40">
      <w:pPr>
        <w:pStyle w:val="NormalWeb"/>
        <w:rPr>
          <w:color w:val="000000" w:themeColor="text1"/>
        </w:rPr>
      </w:pPr>
      <w:r w:rsidRPr="00EC2C40">
        <w:rPr>
          <w:color w:val="000000" w:themeColor="text1"/>
        </w:rPr>
        <w:t xml:space="preserve">Address: Haji Musa </w:t>
      </w:r>
      <w:proofErr w:type="spellStart"/>
      <w:r w:rsidRPr="00EC2C40">
        <w:rPr>
          <w:color w:val="000000" w:themeColor="text1"/>
        </w:rPr>
        <w:t>Kasule</w:t>
      </w:r>
      <w:proofErr w:type="spellEnd"/>
      <w:r w:rsidRPr="00EC2C40">
        <w:rPr>
          <w:color w:val="000000" w:themeColor="text1"/>
        </w:rPr>
        <w:t xml:space="preserve"> Road, Kampala, Uganda </w:t>
      </w:r>
    </w:p>
    <w:p w:rsidR="00EC2C40" w:rsidRPr="00EC2C40" w:rsidRDefault="00EC2C40" w:rsidP="00EC2C40">
      <w:pPr>
        <w:pStyle w:val="NormalWeb"/>
        <w:rPr>
          <w:color w:val="000000" w:themeColor="text1"/>
        </w:rPr>
      </w:pPr>
      <w:r w:rsidRPr="00EC2C40">
        <w:rPr>
          <w:color w:val="000000" w:themeColor="text1"/>
        </w:rPr>
        <w:t>Phone: +256 41 4554008</w:t>
      </w:r>
    </w:p>
    <w:p w:rsidR="00EC2C40" w:rsidRPr="00EC2C40" w:rsidRDefault="00EC2C40" w:rsidP="00EC2C40">
      <w:pPr>
        <w:pStyle w:val="Heading3"/>
        <w:rPr>
          <w:color w:val="000000" w:themeColor="text1"/>
        </w:rPr>
      </w:pPr>
      <w:r w:rsidRPr="00EC2C40">
        <w:rPr>
          <w:color w:val="000000" w:themeColor="text1"/>
        </w:rPr>
        <w:t>1. Introduction</w:t>
      </w:r>
    </w:p>
    <w:p w:rsidR="00EC2C40" w:rsidRPr="00EC2C40" w:rsidRDefault="00EC2C40" w:rsidP="00EC2C40">
      <w:pPr>
        <w:pStyle w:val="NormalWeb"/>
        <w:rPr>
          <w:color w:val="000000" w:themeColor="text1"/>
        </w:rPr>
      </w:pPr>
      <w:r>
        <w:rPr>
          <w:color w:val="000000" w:themeColor="text1"/>
        </w:rPr>
        <w:t>W</w:t>
      </w:r>
      <w:r w:rsidRPr="00EC2C40">
        <w:rPr>
          <w:color w:val="000000" w:themeColor="text1"/>
        </w:rPr>
        <w:t xml:space="preserve">e will role-play a walkthrough of </w:t>
      </w:r>
      <w:proofErr w:type="spellStart"/>
      <w:r w:rsidRPr="00EC2C40">
        <w:rPr>
          <w:color w:val="000000" w:themeColor="text1"/>
        </w:rPr>
        <w:t>Mulago</w:t>
      </w:r>
      <w:proofErr w:type="spellEnd"/>
      <w:r w:rsidRPr="00EC2C40">
        <w:rPr>
          <w:color w:val="000000" w:themeColor="text1"/>
        </w:rPr>
        <w:t xml:space="preserve"> National Referral Hospital in Kampala, Uganda, to identify the sources of data used in its operations.</w:t>
      </w:r>
    </w:p>
    <w:p w:rsidR="00EC2C40" w:rsidRPr="00EC2C40" w:rsidRDefault="00EC2C40" w:rsidP="00EC2C40">
      <w:pPr>
        <w:pStyle w:val="NormalWeb"/>
        <w:rPr>
          <w:color w:val="000000" w:themeColor="text1"/>
        </w:rPr>
      </w:pPr>
      <w:proofErr w:type="spellStart"/>
      <w:r w:rsidRPr="00EC2C40">
        <w:rPr>
          <w:color w:val="000000" w:themeColor="text1"/>
        </w:rPr>
        <w:t>Mulago</w:t>
      </w:r>
      <w:proofErr w:type="spellEnd"/>
      <w:r w:rsidRPr="00EC2C40">
        <w:rPr>
          <w:color w:val="000000" w:themeColor="text1"/>
        </w:rPr>
        <w:t xml:space="preserve"> provides </w:t>
      </w:r>
      <w:proofErr w:type="spellStart"/>
      <w:r w:rsidRPr="00EC2C40">
        <w:rPr>
          <w:color w:val="000000" w:themeColor="text1"/>
        </w:rPr>
        <w:t>paediatric</w:t>
      </w:r>
      <w:proofErr w:type="spellEnd"/>
      <w:r w:rsidRPr="00EC2C40">
        <w:rPr>
          <w:color w:val="000000" w:themeColor="text1"/>
        </w:rPr>
        <w:t xml:space="preserve"> care, surgical services, internal medicine, laboratory services, radiology, emergency care and administrative services. These departments provide a realistic basis for examining the hospital's data sources.</w:t>
      </w:r>
    </w:p>
    <w:p w:rsidR="00EC2C40" w:rsidRPr="00EC2C40" w:rsidRDefault="00EC2C40" w:rsidP="00EC2C40">
      <w:pPr>
        <w:pStyle w:val="NormalWeb"/>
        <w:rPr>
          <w:color w:val="000000" w:themeColor="text1"/>
        </w:rPr>
      </w:pPr>
      <w:r w:rsidRPr="00EC2C40">
        <w:rPr>
          <w:rStyle w:val="Strong"/>
          <w:color w:val="000000" w:themeColor="text1"/>
        </w:rPr>
        <w:t>Important:</w:t>
      </w:r>
      <w:r w:rsidRPr="00EC2C40">
        <w:rPr>
          <w:color w:val="000000" w:themeColor="text1"/>
        </w:rPr>
        <w:t xml:space="preserve"> This is a simulated walkthrough, not a physical visit or an interview with hospital staff. The hospital's services are publicly documented, but the specific systems, data volumes, owners and data quality ratings below are illustrative assumptions for the coursework. </w:t>
      </w:r>
    </w:p>
    <w:p w:rsidR="00EC2C40" w:rsidRPr="00EC2C40" w:rsidRDefault="00EC2C40" w:rsidP="00EC2C40">
      <w:pPr>
        <w:pStyle w:val="Heading3"/>
        <w:rPr>
          <w:color w:val="000000" w:themeColor="text1"/>
        </w:rPr>
      </w:pPr>
      <w:r w:rsidRPr="00EC2C40">
        <w:rPr>
          <w:color w:val="000000" w:themeColor="text1"/>
        </w:rPr>
        <w:t>2. Simulated walkthrough</w:t>
      </w:r>
    </w:p>
    <w:p w:rsidR="00EC2C40" w:rsidRPr="00EC2C40" w:rsidRDefault="00EC2C40" w:rsidP="00EC2C40">
      <w:pPr>
        <w:pStyle w:val="NormalWeb"/>
        <w:rPr>
          <w:color w:val="000000" w:themeColor="text1"/>
        </w:rPr>
      </w:pPr>
      <w:r w:rsidRPr="00EC2C40">
        <w:rPr>
          <w:color w:val="000000" w:themeColor="text1"/>
        </w:rPr>
        <w:t>Imagine we begin at the patient assessment and registration area and proceed through the hospital.</w:t>
      </w:r>
    </w:p>
    <w:p w:rsidR="00EC2C40" w:rsidRPr="00EC2C40" w:rsidRDefault="00EC2C40" w:rsidP="00EC2C40">
      <w:pPr>
        <w:pStyle w:val="NormalWeb"/>
        <w:numPr>
          <w:ilvl w:val="0"/>
          <w:numId w:val="1"/>
        </w:numPr>
        <w:rPr>
          <w:color w:val="000000" w:themeColor="text1"/>
        </w:rPr>
      </w:pPr>
      <w:r w:rsidRPr="00EC2C40">
        <w:rPr>
          <w:rStyle w:val="Strong"/>
          <w:color w:val="000000" w:themeColor="text1"/>
        </w:rPr>
        <w:t>Patient registration:</w:t>
      </w:r>
      <w:r w:rsidRPr="00EC2C40">
        <w:rPr>
          <w:color w:val="000000" w:themeColor="text1"/>
        </w:rPr>
        <w:t xml:space="preserve"> We investigate how patient identities and demographic details are recorded.</w:t>
      </w:r>
    </w:p>
    <w:p w:rsidR="00EC2C40" w:rsidRPr="00EC2C40" w:rsidRDefault="00EC2C40" w:rsidP="00EC2C40">
      <w:pPr>
        <w:pStyle w:val="NormalWeb"/>
        <w:numPr>
          <w:ilvl w:val="0"/>
          <w:numId w:val="1"/>
        </w:numPr>
        <w:rPr>
          <w:color w:val="000000" w:themeColor="text1"/>
        </w:rPr>
      </w:pPr>
      <w:r w:rsidRPr="00EC2C40">
        <w:rPr>
          <w:rStyle w:val="Strong"/>
          <w:color w:val="000000" w:themeColor="text1"/>
        </w:rPr>
        <w:t>Outpatient and inpatient services:</w:t>
      </w:r>
      <w:r w:rsidRPr="00EC2C40">
        <w:rPr>
          <w:color w:val="000000" w:themeColor="text1"/>
        </w:rPr>
        <w:t xml:space="preserve"> We examine where consultations, diagnoses and admission records originate.</w:t>
      </w:r>
    </w:p>
    <w:p w:rsidR="00EC2C40" w:rsidRPr="00EC2C40" w:rsidRDefault="00EC2C40" w:rsidP="00EC2C40">
      <w:pPr>
        <w:pStyle w:val="NormalWeb"/>
        <w:numPr>
          <w:ilvl w:val="0"/>
          <w:numId w:val="1"/>
        </w:numPr>
        <w:rPr>
          <w:color w:val="000000" w:themeColor="text1"/>
        </w:rPr>
      </w:pPr>
      <w:r w:rsidRPr="00EC2C40">
        <w:rPr>
          <w:rStyle w:val="Strong"/>
          <w:color w:val="000000" w:themeColor="text1"/>
        </w:rPr>
        <w:t>Laboratory and radiology:</w:t>
      </w:r>
      <w:r w:rsidRPr="00EC2C40">
        <w:rPr>
          <w:color w:val="000000" w:themeColor="text1"/>
        </w:rPr>
        <w:t xml:space="preserve"> We identify sources of test requests and diagnostic results.</w:t>
      </w:r>
    </w:p>
    <w:p w:rsidR="00EC2C40" w:rsidRPr="00EC2C40" w:rsidRDefault="00EC2C40" w:rsidP="00EC2C40">
      <w:pPr>
        <w:pStyle w:val="NormalWeb"/>
        <w:numPr>
          <w:ilvl w:val="0"/>
          <w:numId w:val="1"/>
        </w:numPr>
        <w:rPr>
          <w:color w:val="000000" w:themeColor="text1"/>
        </w:rPr>
      </w:pPr>
      <w:r w:rsidRPr="00EC2C40">
        <w:rPr>
          <w:rStyle w:val="Strong"/>
          <w:color w:val="000000" w:themeColor="text1"/>
        </w:rPr>
        <w:t>Pharmacy:</w:t>
      </w:r>
      <w:r w:rsidRPr="00EC2C40">
        <w:rPr>
          <w:color w:val="000000" w:themeColor="text1"/>
        </w:rPr>
        <w:t xml:space="preserve"> We investigate how prescriptions and medicine dispensing are recorded.</w:t>
      </w:r>
    </w:p>
    <w:p w:rsidR="00EC2C40" w:rsidRPr="00EC2C40" w:rsidRDefault="00EC2C40" w:rsidP="00EC2C40">
      <w:pPr>
        <w:pStyle w:val="NormalWeb"/>
        <w:numPr>
          <w:ilvl w:val="0"/>
          <w:numId w:val="1"/>
        </w:numPr>
        <w:rPr>
          <w:color w:val="000000" w:themeColor="text1"/>
        </w:rPr>
      </w:pPr>
      <w:r w:rsidRPr="00EC2C40">
        <w:rPr>
          <w:rStyle w:val="Strong"/>
          <w:color w:val="000000" w:themeColor="text1"/>
        </w:rPr>
        <w:t>Accounts:</w:t>
      </w:r>
      <w:r w:rsidRPr="00EC2C40">
        <w:rPr>
          <w:color w:val="000000" w:themeColor="text1"/>
        </w:rPr>
        <w:t xml:space="preserve"> We examine sources of billing and payment information.</w:t>
      </w:r>
    </w:p>
    <w:p w:rsidR="00EC2C40" w:rsidRPr="00EC2C40" w:rsidRDefault="00EC2C40" w:rsidP="00EC2C40">
      <w:pPr>
        <w:pStyle w:val="NormalWeb"/>
        <w:numPr>
          <w:ilvl w:val="0"/>
          <w:numId w:val="1"/>
        </w:numPr>
        <w:rPr>
          <w:color w:val="000000" w:themeColor="text1"/>
        </w:rPr>
      </w:pPr>
      <w:r w:rsidRPr="00EC2C40">
        <w:rPr>
          <w:rStyle w:val="Strong"/>
          <w:color w:val="000000" w:themeColor="text1"/>
        </w:rPr>
        <w:t>Administration:</w:t>
      </w:r>
      <w:r w:rsidRPr="00EC2C40">
        <w:rPr>
          <w:color w:val="000000" w:themeColor="text1"/>
        </w:rPr>
        <w:t xml:space="preserve"> We identify staff and operational records used to manage hospital activities.</w:t>
      </w:r>
    </w:p>
    <w:p w:rsidR="00EC2C40" w:rsidRDefault="00EC2C40" w:rsidP="00EC2C40">
      <w:pPr>
        <w:pStyle w:val="Heading3"/>
        <w:rPr>
          <w:color w:val="000000" w:themeColor="text1"/>
        </w:rPr>
      </w:pPr>
    </w:p>
    <w:p w:rsidR="00EC2C40" w:rsidRDefault="00EC2C40" w:rsidP="00EC2C40">
      <w:pPr>
        <w:pStyle w:val="Heading3"/>
        <w:rPr>
          <w:color w:val="000000" w:themeColor="text1"/>
        </w:rPr>
      </w:pPr>
    </w:p>
    <w:p w:rsidR="00EC2C40" w:rsidRDefault="00EC2C40" w:rsidP="00EC2C40">
      <w:pPr>
        <w:pStyle w:val="Heading3"/>
        <w:rPr>
          <w:color w:val="000000" w:themeColor="text1"/>
        </w:rPr>
      </w:pPr>
    </w:p>
    <w:p w:rsidR="00EC2C40" w:rsidRDefault="00EC2C40" w:rsidP="00EC2C40">
      <w:pPr>
        <w:pStyle w:val="Heading3"/>
        <w:rPr>
          <w:color w:val="000000" w:themeColor="text1"/>
        </w:rPr>
      </w:pPr>
    </w:p>
    <w:p w:rsidR="00EC2C40" w:rsidRPr="00EC2C40" w:rsidRDefault="00EC2C40" w:rsidP="00EC2C40">
      <w:pPr>
        <w:pStyle w:val="Heading3"/>
        <w:rPr>
          <w:color w:val="000000" w:themeColor="text1"/>
        </w:rPr>
      </w:pPr>
      <w:r w:rsidRPr="00EC2C40">
        <w:rPr>
          <w:color w:val="000000" w:themeColor="text1"/>
        </w:rPr>
        <w:lastRenderedPageBreak/>
        <w:t>3. Source inventory table</w:t>
      </w:r>
    </w:p>
    <w:p w:rsidR="00EC2C40" w:rsidRPr="00EC2C40" w:rsidRDefault="00EC2C40" w:rsidP="00EC2C40">
      <w:pPr>
        <w:pStyle w:val="NormalWeb"/>
        <w:rPr>
          <w:color w:val="000000" w:themeColor="text1"/>
        </w:rPr>
      </w:pPr>
      <w:r w:rsidRPr="00EC2C40">
        <w:rPr>
          <w:color w:val="000000" w:themeColor="text1"/>
        </w:rPr>
        <w:t xml:space="preserve">The following table is our </w:t>
      </w:r>
      <w:r w:rsidRPr="00EC2C40">
        <w:rPr>
          <w:rStyle w:val="Strong"/>
          <w:color w:val="000000" w:themeColor="text1"/>
        </w:rPr>
        <w:t>preliminary inventory based on the simulated walkthrough</w:t>
      </w:r>
      <w:r w:rsidRPr="00EC2C40">
        <w:rPr>
          <w:color w:val="000000" w:themeColor="text1"/>
        </w:rPr>
        <w:t>. The volume and quality ratings are working estimates, not measured findings.</w:t>
      </w:r>
    </w:p>
    <w:tbl>
      <w:tblPr>
        <w:tblW w:w="9620" w:type="dxa"/>
        <w:tblInd w:w="-10" w:type="dxa"/>
        <w:tblLook w:val="04A0" w:firstRow="1" w:lastRow="0" w:firstColumn="1" w:lastColumn="0" w:noHBand="0" w:noVBand="1"/>
      </w:tblPr>
      <w:tblGrid>
        <w:gridCol w:w="538"/>
        <w:gridCol w:w="2180"/>
        <w:gridCol w:w="2058"/>
        <w:gridCol w:w="2116"/>
        <w:gridCol w:w="1535"/>
        <w:gridCol w:w="1193"/>
      </w:tblGrid>
      <w:tr w:rsidR="00EC2C40" w:rsidRPr="00EC2C40" w:rsidTr="00EC2C40">
        <w:trPr>
          <w:trHeight w:val="880"/>
        </w:trPr>
        <w:tc>
          <w:tcPr>
            <w:tcW w:w="420"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jc w:val="right"/>
              <w:rPr>
                <w:rFonts w:ascii="Calibri" w:eastAsia="Times New Roman" w:hAnsi="Calibri" w:cs="Calibri"/>
                <w:b/>
                <w:bCs/>
                <w:color w:val="000000"/>
              </w:rPr>
            </w:pPr>
            <w:r w:rsidRPr="00EC2C40">
              <w:rPr>
                <w:rFonts w:ascii="Calibri" w:eastAsia="Times New Roman" w:hAnsi="Calibri" w:cs="Calibri"/>
                <w:b/>
                <w:bCs/>
                <w:color w:val="000000" w:themeColor="text1"/>
              </w:rPr>
              <w:t>No.</w:t>
            </w:r>
          </w:p>
        </w:tc>
        <w:tc>
          <w:tcPr>
            <w:tcW w:w="2280" w:type="dxa"/>
            <w:tcBorders>
              <w:top w:val="single" w:sz="8" w:space="0" w:color="auto"/>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jc w:val="center"/>
              <w:rPr>
                <w:rFonts w:ascii="Calibri" w:eastAsia="Times New Roman" w:hAnsi="Calibri" w:cs="Calibri"/>
                <w:b/>
                <w:bCs/>
                <w:color w:val="000000"/>
              </w:rPr>
            </w:pPr>
            <w:r w:rsidRPr="00EC2C40">
              <w:rPr>
                <w:rFonts w:ascii="Calibri" w:eastAsia="Times New Roman" w:hAnsi="Calibri" w:cs="Calibri"/>
                <w:b/>
                <w:bCs/>
                <w:color w:val="000000" w:themeColor="text1"/>
              </w:rPr>
              <w:t>Data source/system</w:t>
            </w:r>
          </w:p>
        </w:tc>
        <w:tc>
          <w:tcPr>
            <w:tcW w:w="2140" w:type="dxa"/>
            <w:tcBorders>
              <w:top w:val="single" w:sz="8" w:space="0" w:color="auto"/>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jc w:val="center"/>
              <w:rPr>
                <w:rFonts w:ascii="Calibri" w:eastAsia="Times New Roman" w:hAnsi="Calibri" w:cs="Calibri"/>
                <w:b/>
                <w:bCs/>
                <w:color w:val="000000"/>
              </w:rPr>
            </w:pPr>
            <w:r w:rsidRPr="00EC2C40">
              <w:rPr>
                <w:rFonts w:ascii="Calibri" w:eastAsia="Times New Roman" w:hAnsi="Calibri" w:cs="Calibri"/>
                <w:b/>
                <w:bCs/>
                <w:color w:val="000000" w:themeColor="text1"/>
              </w:rPr>
              <w:t>Data owner</w:t>
            </w:r>
          </w:p>
        </w:tc>
        <w:tc>
          <w:tcPr>
            <w:tcW w:w="2220" w:type="dxa"/>
            <w:tcBorders>
              <w:top w:val="single" w:sz="8" w:space="0" w:color="auto"/>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jc w:val="center"/>
              <w:rPr>
                <w:rFonts w:ascii="Calibri" w:eastAsia="Times New Roman" w:hAnsi="Calibri" w:cs="Calibri"/>
                <w:b/>
                <w:bCs/>
                <w:color w:val="000000"/>
              </w:rPr>
            </w:pPr>
            <w:r w:rsidRPr="00EC2C40">
              <w:rPr>
                <w:rFonts w:ascii="Calibri" w:eastAsia="Times New Roman" w:hAnsi="Calibri" w:cs="Calibri"/>
                <w:b/>
                <w:bCs/>
                <w:color w:val="000000" w:themeColor="text1"/>
              </w:rPr>
              <w:t>Format</w:t>
            </w:r>
          </w:p>
        </w:tc>
        <w:tc>
          <w:tcPr>
            <w:tcW w:w="1600" w:type="dxa"/>
            <w:tcBorders>
              <w:top w:val="single" w:sz="8" w:space="0" w:color="auto"/>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jc w:val="center"/>
              <w:rPr>
                <w:rFonts w:ascii="Calibri" w:eastAsia="Times New Roman" w:hAnsi="Calibri" w:cs="Calibri"/>
                <w:b/>
                <w:bCs/>
                <w:color w:val="000000"/>
              </w:rPr>
            </w:pPr>
            <w:r w:rsidRPr="00EC2C40">
              <w:rPr>
                <w:rFonts w:ascii="Calibri" w:eastAsia="Times New Roman" w:hAnsi="Calibri" w:cs="Calibri"/>
                <w:b/>
                <w:bCs/>
                <w:color w:val="000000" w:themeColor="text1"/>
              </w:rPr>
              <w:t>Estimated volume</w:t>
            </w:r>
          </w:p>
        </w:tc>
        <w:tc>
          <w:tcPr>
            <w:tcW w:w="960" w:type="dxa"/>
            <w:tcBorders>
              <w:top w:val="single" w:sz="8" w:space="0" w:color="auto"/>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jc w:val="center"/>
              <w:rPr>
                <w:rFonts w:ascii="Calibri" w:eastAsia="Times New Roman" w:hAnsi="Calibri" w:cs="Calibri"/>
                <w:b/>
                <w:bCs/>
                <w:color w:val="000000"/>
              </w:rPr>
            </w:pPr>
            <w:r w:rsidRPr="00EC2C40">
              <w:rPr>
                <w:rFonts w:ascii="Calibri" w:eastAsia="Times New Roman" w:hAnsi="Calibri" w:cs="Calibri"/>
                <w:b/>
                <w:bCs/>
                <w:color w:val="000000" w:themeColor="text1"/>
              </w:rPr>
              <w:t>Quality reputation</w:t>
            </w:r>
          </w:p>
        </w:tc>
      </w:tr>
      <w:tr w:rsidR="00EC2C40" w:rsidRPr="00EC2C40" w:rsidTr="00EC2C40">
        <w:trPr>
          <w:trHeight w:val="590"/>
        </w:trPr>
        <w:tc>
          <w:tcPr>
            <w:tcW w:w="420" w:type="dxa"/>
            <w:tcBorders>
              <w:top w:val="nil"/>
              <w:left w:val="single" w:sz="8" w:space="0" w:color="auto"/>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jc w:val="right"/>
              <w:rPr>
                <w:rFonts w:ascii="Calibri" w:eastAsia="Times New Roman" w:hAnsi="Calibri" w:cs="Calibri"/>
                <w:color w:val="000000"/>
              </w:rPr>
            </w:pPr>
            <w:r w:rsidRPr="00EC2C40">
              <w:rPr>
                <w:rFonts w:ascii="Calibri" w:eastAsia="Times New Roman" w:hAnsi="Calibri" w:cs="Calibri"/>
                <w:color w:val="000000" w:themeColor="text1"/>
              </w:rPr>
              <w:t>1</w:t>
            </w:r>
          </w:p>
        </w:tc>
        <w:tc>
          <w:tcPr>
            <w:tcW w:w="228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Patient registration records</w:t>
            </w:r>
          </w:p>
        </w:tc>
        <w:tc>
          <w:tcPr>
            <w:tcW w:w="214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Patient Records Officer</w:t>
            </w:r>
          </w:p>
        </w:tc>
        <w:tc>
          <w:tcPr>
            <w:tcW w:w="222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Electronic database or paper forms</w:t>
            </w:r>
          </w:p>
        </w:tc>
        <w:tc>
          <w:tcPr>
            <w:tcW w:w="160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Very high</w:t>
            </w:r>
          </w:p>
        </w:tc>
        <w:tc>
          <w:tcPr>
            <w:tcW w:w="96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t>Good</w:t>
            </w:r>
          </w:p>
        </w:tc>
      </w:tr>
      <w:tr w:rsidR="00EC2C40" w:rsidRPr="00EC2C40" w:rsidTr="00EC2C40">
        <w:trPr>
          <w:trHeight w:val="880"/>
        </w:trPr>
        <w:tc>
          <w:tcPr>
            <w:tcW w:w="420" w:type="dxa"/>
            <w:tcBorders>
              <w:top w:val="nil"/>
              <w:left w:val="single" w:sz="8" w:space="0" w:color="auto"/>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jc w:val="right"/>
              <w:rPr>
                <w:rFonts w:ascii="Calibri" w:eastAsia="Times New Roman" w:hAnsi="Calibri" w:cs="Calibri"/>
                <w:color w:val="000000"/>
              </w:rPr>
            </w:pPr>
            <w:r w:rsidRPr="00EC2C40">
              <w:rPr>
                <w:rFonts w:ascii="Calibri" w:eastAsia="Times New Roman" w:hAnsi="Calibri" w:cs="Calibri"/>
                <w:color w:val="000000" w:themeColor="text1"/>
              </w:rPr>
              <w:t>2</w:t>
            </w:r>
          </w:p>
        </w:tc>
        <w:tc>
          <w:tcPr>
            <w:tcW w:w="228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Outpatient records</w:t>
            </w:r>
          </w:p>
        </w:tc>
        <w:tc>
          <w:tcPr>
            <w:tcW w:w="214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Outpatient Department Records Officer</w:t>
            </w:r>
          </w:p>
        </w:tc>
        <w:tc>
          <w:tcPr>
            <w:tcW w:w="222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Electronic records or paper registers</w:t>
            </w:r>
          </w:p>
        </w:tc>
        <w:tc>
          <w:tcPr>
            <w:tcW w:w="160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Very high</w:t>
            </w:r>
          </w:p>
        </w:tc>
        <w:tc>
          <w:tcPr>
            <w:tcW w:w="96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t>Good</w:t>
            </w:r>
          </w:p>
        </w:tc>
      </w:tr>
      <w:tr w:rsidR="00EC2C40" w:rsidRPr="00EC2C40" w:rsidTr="00EC2C40">
        <w:trPr>
          <w:trHeight w:val="590"/>
        </w:trPr>
        <w:tc>
          <w:tcPr>
            <w:tcW w:w="420" w:type="dxa"/>
            <w:tcBorders>
              <w:top w:val="nil"/>
              <w:left w:val="single" w:sz="8" w:space="0" w:color="auto"/>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jc w:val="right"/>
              <w:rPr>
                <w:rFonts w:ascii="Calibri" w:eastAsia="Times New Roman" w:hAnsi="Calibri" w:cs="Calibri"/>
                <w:color w:val="000000"/>
              </w:rPr>
            </w:pPr>
            <w:r w:rsidRPr="00EC2C40">
              <w:rPr>
                <w:rFonts w:ascii="Calibri" w:eastAsia="Times New Roman" w:hAnsi="Calibri" w:cs="Calibri"/>
                <w:color w:val="000000" w:themeColor="text1"/>
              </w:rPr>
              <w:t>3</w:t>
            </w:r>
          </w:p>
        </w:tc>
        <w:tc>
          <w:tcPr>
            <w:tcW w:w="228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Inpatient and admission records</w:t>
            </w:r>
          </w:p>
        </w:tc>
        <w:tc>
          <w:tcPr>
            <w:tcW w:w="214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Inpatient Records Officer</w:t>
            </w:r>
          </w:p>
        </w:tc>
        <w:tc>
          <w:tcPr>
            <w:tcW w:w="222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Electronic records or paper files</w:t>
            </w:r>
          </w:p>
        </w:tc>
        <w:tc>
          <w:tcPr>
            <w:tcW w:w="160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High</w:t>
            </w:r>
          </w:p>
        </w:tc>
        <w:tc>
          <w:tcPr>
            <w:tcW w:w="96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t>Fair</w:t>
            </w:r>
          </w:p>
        </w:tc>
      </w:tr>
      <w:tr w:rsidR="00EC2C40" w:rsidRPr="00EC2C40" w:rsidTr="00EC2C40">
        <w:trPr>
          <w:trHeight w:val="590"/>
        </w:trPr>
        <w:tc>
          <w:tcPr>
            <w:tcW w:w="420" w:type="dxa"/>
            <w:tcBorders>
              <w:top w:val="nil"/>
              <w:left w:val="single" w:sz="8" w:space="0" w:color="auto"/>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jc w:val="right"/>
              <w:rPr>
                <w:rFonts w:ascii="Calibri" w:eastAsia="Times New Roman" w:hAnsi="Calibri" w:cs="Calibri"/>
                <w:color w:val="000000"/>
              </w:rPr>
            </w:pPr>
            <w:r w:rsidRPr="00EC2C40">
              <w:rPr>
                <w:rFonts w:ascii="Calibri" w:eastAsia="Times New Roman" w:hAnsi="Calibri" w:cs="Calibri"/>
                <w:color w:val="000000" w:themeColor="text1"/>
              </w:rPr>
              <w:t>4</w:t>
            </w:r>
          </w:p>
        </w:tc>
        <w:tc>
          <w:tcPr>
            <w:tcW w:w="228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Laboratory information and test records</w:t>
            </w:r>
          </w:p>
        </w:tc>
        <w:tc>
          <w:tcPr>
            <w:tcW w:w="214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Laboratory Manager</w:t>
            </w:r>
          </w:p>
        </w:tc>
        <w:tc>
          <w:tcPr>
            <w:tcW w:w="222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Laboratory system or paper records</w:t>
            </w:r>
          </w:p>
        </w:tc>
        <w:tc>
          <w:tcPr>
            <w:tcW w:w="160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High</w:t>
            </w:r>
          </w:p>
        </w:tc>
        <w:tc>
          <w:tcPr>
            <w:tcW w:w="96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t>Good</w:t>
            </w:r>
          </w:p>
        </w:tc>
      </w:tr>
      <w:tr w:rsidR="00EC2C40" w:rsidRPr="00EC2C40" w:rsidTr="00EC2C40">
        <w:trPr>
          <w:trHeight w:val="590"/>
        </w:trPr>
        <w:tc>
          <w:tcPr>
            <w:tcW w:w="420" w:type="dxa"/>
            <w:tcBorders>
              <w:top w:val="nil"/>
              <w:left w:val="single" w:sz="8" w:space="0" w:color="auto"/>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jc w:val="right"/>
              <w:rPr>
                <w:rFonts w:ascii="Calibri" w:eastAsia="Times New Roman" w:hAnsi="Calibri" w:cs="Calibri"/>
                <w:color w:val="000000"/>
              </w:rPr>
            </w:pPr>
            <w:r w:rsidRPr="00EC2C40">
              <w:rPr>
                <w:rFonts w:ascii="Calibri" w:eastAsia="Times New Roman" w:hAnsi="Calibri" w:cs="Calibri"/>
                <w:color w:val="000000" w:themeColor="text1"/>
              </w:rPr>
              <w:t>5</w:t>
            </w:r>
          </w:p>
        </w:tc>
        <w:tc>
          <w:tcPr>
            <w:tcW w:w="228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Radiology and imaging records</w:t>
            </w:r>
          </w:p>
        </w:tc>
        <w:tc>
          <w:tcPr>
            <w:tcW w:w="214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Radiology Department Manager</w:t>
            </w:r>
          </w:p>
        </w:tc>
        <w:tc>
          <w:tcPr>
            <w:tcW w:w="222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Digital imaging system and reports</w:t>
            </w:r>
          </w:p>
        </w:tc>
        <w:tc>
          <w:tcPr>
            <w:tcW w:w="160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High</w:t>
            </w:r>
          </w:p>
        </w:tc>
        <w:tc>
          <w:tcPr>
            <w:tcW w:w="96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t>Good</w:t>
            </w:r>
          </w:p>
        </w:tc>
      </w:tr>
      <w:tr w:rsidR="00EC2C40" w:rsidRPr="00EC2C40" w:rsidTr="00EC2C40">
        <w:trPr>
          <w:trHeight w:val="880"/>
        </w:trPr>
        <w:tc>
          <w:tcPr>
            <w:tcW w:w="420" w:type="dxa"/>
            <w:tcBorders>
              <w:top w:val="nil"/>
              <w:left w:val="single" w:sz="8" w:space="0" w:color="auto"/>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jc w:val="right"/>
              <w:rPr>
                <w:rFonts w:ascii="Calibri" w:eastAsia="Times New Roman" w:hAnsi="Calibri" w:cs="Calibri"/>
                <w:color w:val="000000"/>
              </w:rPr>
            </w:pPr>
            <w:r w:rsidRPr="00EC2C40">
              <w:rPr>
                <w:rFonts w:ascii="Calibri" w:eastAsia="Times New Roman" w:hAnsi="Calibri" w:cs="Calibri"/>
                <w:color w:val="000000" w:themeColor="text1"/>
              </w:rPr>
              <w:t>6</w:t>
            </w:r>
          </w:p>
        </w:tc>
        <w:tc>
          <w:tcPr>
            <w:tcW w:w="228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Pharmacy and medicine dispensing records</w:t>
            </w:r>
          </w:p>
        </w:tc>
        <w:tc>
          <w:tcPr>
            <w:tcW w:w="214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Pharmacy Manager</w:t>
            </w:r>
          </w:p>
        </w:tc>
        <w:tc>
          <w:tcPr>
            <w:tcW w:w="222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Pharmacy system or dispensing registers</w:t>
            </w:r>
          </w:p>
        </w:tc>
        <w:tc>
          <w:tcPr>
            <w:tcW w:w="160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High</w:t>
            </w:r>
          </w:p>
        </w:tc>
        <w:tc>
          <w:tcPr>
            <w:tcW w:w="96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t>Good</w:t>
            </w:r>
          </w:p>
        </w:tc>
      </w:tr>
      <w:tr w:rsidR="00EC2C40" w:rsidRPr="00EC2C40" w:rsidTr="00EC2C40">
        <w:trPr>
          <w:trHeight w:val="880"/>
        </w:trPr>
        <w:tc>
          <w:tcPr>
            <w:tcW w:w="420" w:type="dxa"/>
            <w:tcBorders>
              <w:top w:val="nil"/>
              <w:left w:val="single" w:sz="8" w:space="0" w:color="auto"/>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jc w:val="right"/>
              <w:rPr>
                <w:rFonts w:ascii="Calibri" w:eastAsia="Times New Roman" w:hAnsi="Calibri" w:cs="Calibri"/>
                <w:color w:val="000000"/>
              </w:rPr>
            </w:pPr>
            <w:r w:rsidRPr="00EC2C40">
              <w:rPr>
                <w:rFonts w:ascii="Calibri" w:eastAsia="Times New Roman" w:hAnsi="Calibri" w:cs="Calibri"/>
                <w:color w:val="000000" w:themeColor="text1"/>
              </w:rPr>
              <w:t>7</w:t>
            </w:r>
          </w:p>
        </w:tc>
        <w:tc>
          <w:tcPr>
            <w:tcW w:w="228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Billing and payment records</w:t>
            </w:r>
          </w:p>
        </w:tc>
        <w:tc>
          <w:tcPr>
            <w:tcW w:w="214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Accounts Officer</w:t>
            </w:r>
          </w:p>
        </w:tc>
        <w:tc>
          <w:tcPr>
            <w:tcW w:w="222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Accounting system, spreadsheets or receipts</w:t>
            </w:r>
          </w:p>
        </w:tc>
        <w:tc>
          <w:tcPr>
            <w:tcW w:w="160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High</w:t>
            </w:r>
          </w:p>
        </w:tc>
        <w:tc>
          <w:tcPr>
            <w:tcW w:w="96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t>Fair</w:t>
            </w:r>
          </w:p>
        </w:tc>
      </w:tr>
      <w:tr w:rsidR="00EC2C40" w:rsidRPr="00EC2C40" w:rsidTr="00EC2C40">
        <w:trPr>
          <w:trHeight w:val="880"/>
        </w:trPr>
        <w:tc>
          <w:tcPr>
            <w:tcW w:w="420" w:type="dxa"/>
            <w:tcBorders>
              <w:top w:val="nil"/>
              <w:left w:val="single" w:sz="8" w:space="0" w:color="auto"/>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jc w:val="right"/>
              <w:rPr>
                <w:rFonts w:ascii="Calibri" w:eastAsia="Times New Roman" w:hAnsi="Calibri" w:cs="Calibri"/>
                <w:color w:val="000000"/>
              </w:rPr>
            </w:pPr>
            <w:r w:rsidRPr="00EC2C40">
              <w:rPr>
                <w:rFonts w:ascii="Calibri" w:eastAsia="Times New Roman" w:hAnsi="Calibri" w:cs="Calibri"/>
                <w:color w:val="000000" w:themeColor="text1"/>
              </w:rPr>
              <w:t>8</w:t>
            </w:r>
          </w:p>
        </w:tc>
        <w:tc>
          <w:tcPr>
            <w:tcW w:w="228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Appointment and clinic attendance records</w:t>
            </w:r>
          </w:p>
        </w:tc>
        <w:tc>
          <w:tcPr>
            <w:tcW w:w="214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Outpatient Administration</w:t>
            </w:r>
          </w:p>
        </w:tc>
        <w:tc>
          <w:tcPr>
            <w:tcW w:w="222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Booking system, registers or spreadsheets</w:t>
            </w:r>
          </w:p>
        </w:tc>
        <w:tc>
          <w:tcPr>
            <w:tcW w:w="160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High</w:t>
            </w:r>
          </w:p>
        </w:tc>
        <w:tc>
          <w:tcPr>
            <w:tcW w:w="96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t>Fair</w:t>
            </w:r>
          </w:p>
        </w:tc>
      </w:tr>
      <w:tr w:rsidR="00EC2C40" w:rsidRPr="00EC2C40" w:rsidTr="00EC2C40">
        <w:trPr>
          <w:trHeight w:val="590"/>
        </w:trPr>
        <w:tc>
          <w:tcPr>
            <w:tcW w:w="420" w:type="dxa"/>
            <w:tcBorders>
              <w:top w:val="nil"/>
              <w:left w:val="single" w:sz="8" w:space="0" w:color="auto"/>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jc w:val="right"/>
              <w:rPr>
                <w:rFonts w:ascii="Calibri" w:eastAsia="Times New Roman" w:hAnsi="Calibri" w:cs="Calibri"/>
                <w:color w:val="000000"/>
              </w:rPr>
            </w:pPr>
            <w:r w:rsidRPr="00EC2C40">
              <w:rPr>
                <w:rFonts w:ascii="Calibri" w:eastAsia="Times New Roman" w:hAnsi="Calibri" w:cs="Calibri"/>
                <w:color w:val="000000" w:themeColor="text1"/>
              </w:rPr>
              <w:t>9</w:t>
            </w:r>
          </w:p>
        </w:tc>
        <w:tc>
          <w:tcPr>
            <w:tcW w:w="228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Staff and human resource records</w:t>
            </w:r>
          </w:p>
        </w:tc>
        <w:tc>
          <w:tcPr>
            <w:tcW w:w="214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Human Resources Manager</w:t>
            </w:r>
          </w:p>
        </w:tc>
        <w:tc>
          <w:tcPr>
            <w:tcW w:w="222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HR system or personnel files</w:t>
            </w:r>
          </w:p>
        </w:tc>
        <w:tc>
          <w:tcPr>
            <w:tcW w:w="160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Moderate</w:t>
            </w:r>
          </w:p>
        </w:tc>
        <w:tc>
          <w:tcPr>
            <w:tcW w:w="96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t>Fair</w:t>
            </w:r>
          </w:p>
        </w:tc>
      </w:tr>
      <w:tr w:rsidR="00EC2C40" w:rsidRPr="00EC2C40" w:rsidTr="00EC2C40">
        <w:trPr>
          <w:trHeight w:val="880"/>
        </w:trPr>
        <w:tc>
          <w:tcPr>
            <w:tcW w:w="420" w:type="dxa"/>
            <w:tcBorders>
              <w:top w:val="nil"/>
              <w:left w:val="single" w:sz="8" w:space="0" w:color="auto"/>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jc w:val="right"/>
              <w:rPr>
                <w:rFonts w:ascii="Calibri" w:eastAsia="Times New Roman" w:hAnsi="Calibri" w:cs="Calibri"/>
                <w:color w:val="000000"/>
              </w:rPr>
            </w:pPr>
            <w:r w:rsidRPr="00EC2C40">
              <w:rPr>
                <w:rFonts w:ascii="Calibri" w:eastAsia="Times New Roman" w:hAnsi="Calibri" w:cs="Calibri"/>
                <w:color w:val="000000" w:themeColor="text1"/>
              </w:rPr>
              <w:t>10</w:t>
            </w:r>
          </w:p>
        </w:tc>
        <w:tc>
          <w:tcPr>
            <w:tcW w:w="228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Procurement and inventory records</w:t>
            </w:r>
          </w:p>
        </w:tc>
        <w:tc>
          <w:tcPr>
            <w:tcW w:w="214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Procurement Officer</w:t>
            </w:r>
          </w:p>
        </w:tc>
        <w:tc>
          <w:tcPr>
            <w:tcW w:w="222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Inventory system, spreadsheets or paper documents</w:t>
            </w:r>
          </w:p>
        </w:tc>
        <w:tc>
          <w:tcPr>
            <w:tcW w:w="160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Moderate to high</w:t>
            </w:r>
          </w:p>
        </w:tc>
        <w:tc>
          <w:tcPr>
            <w:tcW w:w="96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t>Fair</w:t>
            </w:r>
          </w:p>
        </w:tc>
      </w:tr>
      <w:tr w:rsidR="00EC2C40" w:rsidRPr="00EC2C40" w:rsidTr="00EC2C40">
        <w:trPr>
          <w:trHeight w:val="880"/>
        </w:trPr>
        <w:tc>
          <w:tcPr>
            <w:tcW w:w="420" w:type="dxa"/>
            <w:tcBorders>
              <w:top w:val="nil"/>
              <w:left w:val="single" w:sz="8" w:space="0" w:color="auto"/>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jc w:val="right"/>
              <w:rPr>
                <w:rFonts w:ascii="Calibri" w:eastAsia="Times New Roman" w:hAnsi="Calibri" w:cs="Calibri"/>
                <w:color w:val="000000"/>
              </w:rPr>
            </w:pPr>
            <w:r w:rsidRPr="00EC2C40">
              <w:rPr>
                <w:rFonts w:ascii="Calibri" w:eastAsia="Times New Roman" w:hAnsi="Calibri" w:cs="Calibri"/>
                <w:color w:val="000000" w:themeColor="text1"/>
              </w:rPr>
              <w:t>11</w:t>
            </w:r>
          </w:p>
        </w:tc>
        <w:tc>
          <w:tcPr>
            <w:tcW w:w="228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Emergency department records</w:t>
            </w:r>
          </w:p>
        </w:tc>
        <w:tc>
          <w:tcPr>
            <w:tcW w:w="214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Emergency Department Records Officer</w:t>
            </w:r>
          </w:p>
        </w:tc>
        <w:tc>
          <w:tcPr>
            <w:tcW w:w="222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Electronic records or paper forms</w:t>
            </w:r>
          </w:p>
        </w:tc>
        <w:tc>
          <w:tcPr>
            <w:tcW w:w="160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High</w:t>
            </w:r>
          </w:p>
        </w:tc>
        <w:tc>
          <w:tcPr>
            <w:tcW w:w="96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t>Good</w:t>
            </w:r>
          </w:p>
        </w:tc>
      </w:tr>
      <w:tr w:rsidR="00EC2C40" w:rsidRPr="00EC2C40" w:rsidTr="00EC2C40">
        <w:trPr>
          <w:trHeight w:val="590"/>
        </w:trPr>
        <w:tc>
          <w:tcPr>
            <w:tcW w:w="420" w:type="dxa"/>
            <w:tcBorders>
              <w:top w:val="nil"/>
              <w:left w:val="single" w:sz="8" w:space="0" w:color="auto"/>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jc w:val="right"/>
              <w:rPr>
                <w:rFonts w:ascii="Calibri" w:eastAsia="Times New Roman" w:hAnsi="Calibri" w:cs="Calibri"/>
                <w:color w:val="000000"/>
              </w:rPr>
            </w:pPr>
            <w:r w:rsidRPr="00EC2C40">
              <w:rPr>
                <w:rFonts w:ascii="Calibri" w:eastAsia="Times New Roman" w:hAnsi="Calibri" w:cs="Calibri"/>
                <w:color w:val="000000" w:themeColor="text1"/>
              </w:rPr>
              <w:t>12</w:t>
            </w:r>
          </w:p>
        </w:tc>
        <w:tc>
          <w:tcPr>
            <w:tcW w:w="228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Monthly clinical and operational reports</w:t>
            </w:r>
          </w:p>
        </w:tc>
        <w:tc>
          <w:tcPr>
            <w:tcW w:w="214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Hospital Planning or Records Department</w:t>
            </w:r>
          </w:p>
        </w:tc>
        <w:tc>
          <w:tcPr>
            <w:tcW w:w="222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Spreadsheets, databases or reports</w:t>
            </w:r>
          </w:p>
        </w:tc>
        <w:tc>
          <w:tcPr>
            <w:tcW w:w="160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rsidRPr="00EC2C40">
              <w:rPr>
                <w:rFonts w:ascii="Calibri" w:eastAsia="Times New Roman" w:hAnsi="Calibri" w:cs="Calibri"/>
                <w:color w:val="000000" w:themeColor="text1"/>
              </w:rPr>
              <w:t>Moderate</w:t>
            </w:r>
          </w:p>
        </w:tc>
        <w:tc>
          <w:tcPr>
            <w:tcW w:w="960" w:type="dxa"/>
            <w:tcBorders>
              <w:top w:val="nil"/>
              <w:left w:val="nil"/>
              <w:bottom w:val="single" w:sz="8" w:space="0" w:color="auto"/>
              <w:right w:val="single" w:sz="8" w:space="0" w:color="auto"/>
            </w:tcBorders>
            <w:shd w:val="clear" w:color="auto" w:fill="auto"/>
            <w:vAlign w:val="center"/>
            <w:hideMark/>
          </w:tcPr>
          <w:p w:rsidR="00EC2C40" w:rsidRPr="00EC2C40" w:rsidRDefault="00EC2C40" w:rsidP="00EC2C40">
            <w:pPr>
              <w:spacing w:after="0" w:line="240" w:lineRule="auto"/>
              <w:rPr>
                <w:rFonts w:ascii="Calibri" w:eastAsia="Times New Roman" w:hAnsi="Calibri" w:cs="Calibri"/>
                <w:color w:val="000000"/>
              </w:rPr>
            </w:pPr>
            <w:r>
              <w:t>Good</w:t>
            </w:r>
          </w:p>
        </w:tc>
      </w:tr>
    </w:tbl>
    <w:p w:rsidR="00EC2C40" w:rsidRDefault="00EC2C40" w:rsidP="00EC2C40">
      <w:pPr>
        <w:pStyle w:val="NormalWeb"/>
        <w:rPr>
          <w:rStyle w:val="Strong"/>
          <w:color w:val="000000" w:themeColor="text1"/>
        </w:rPr>
      </w:pPr>
    </w:p>
    <w:p w:rsidR="00EC2C40" w:rsidRPr="00EC2C40" w:rsidRDefault="00EC2C40" w:rsidP="00EC2C40">
      <w:pPr>
        <w:pStyle w:val="NormalWeb"/>
        <w:rPr>
          <w:color w:val="000000" w:themeColor="text1"/>
        </w:rPr>
      </w:pPr>
      <w:r w:rsidRPr="00EC2C40">
        <w:rPr>
          <w:rStyle w:val="Strong"/>
          <w:color w:val="000000" w:themeColor="text1"/>
        </w:rPr>
        <w:lastRenderedPageBreak/>
        <w:t>Interpretation of the columns:</w:t>
      </w:r>
    </w:p>
    <w:p w:rsidR="00EC2C40" w:rsidRPr="00EC2C40" w:rsidRDefault="00EC2C40" w:rsidP="00EC2C40">
      <w:pPr>
        <w:pStyle w:val="NormalWeb"/>
        <w:numPr>
          <w:ilvl w:val="0"/>
          <w:numId w:val="2"/>
        </w:numPr>
        <w:rPr>
          <w:color w:val="000000" w:themeColor="text1"/>
        </w:rPr>
      </w:pPr>
      <w:r w:rsidRPr="00EC2C40">
        <w:rPr>
          <w:rStyle w:val="Strong"/>
          <w:color w:val="000000" w:themeColor="text1"/>
        </w:rPr>
        <w:t>Data owner:</w:t>
      </w:r>
      <w:r w:rsidRPr="00EC2C40">
        <w:rPr>
          <w:color w:val="000000" w:themeColor="text1"/>
        </w:rPr>
        <w:t xml:space="preserve"> The proposed role accountable for the source. The actual person or formally designated owner has not been verified.</w:t>
      </w:r>
    </w:p>
    <w:p w:rsidR="00EC2C40" w:rsidRPr="00EC2C40" w:rsidRDefault="00EC2C40" w:rsidP="00EC2C40">
      <w:pPr>
        <w:pStyle w:val="NormalWeb"/>
        <w:numPr>
          <w:ilvl w:val="0"/>
          <w:numId w:val="2"/>
        </w:numPr>
        <w:rPr>
          <w:color w:val="000000" w:themeColor="text1"/>
        </w:rPr>
      </w:pPr>
      <w:r w:rsidRPr="00EC2C40">
        <w:rPr>
          <w:rStyle w:val="Strong"/>
          <w:color w:val="000000" w:themeColor="text1"/>
        </w:rPr>
        <w:t>Format:</w:t>
      </w:r>
      <w:r w:rsidRPr="00EC2C40">
        <w:rPr>
          <w:color w:val="000000" w:themeColor="text1"/>
        </w:rPr>
        <w:t xml:space="preserve"> Possible formats to confirm during the simulated walkthrough.</w:t>
      </w:r>
    </w:p>
    <w:p w:rsidR="00EC2C40" w:rsidRPr="00EC2C40" w:rsidRDefault="00EC2C40" w:rsidP="00EC2C40">
      <w:pPr>
        <w:pStyle w:val="NormalWeb"/>
        <w:numPr>
          <w:ilvl w:val="0"/>
          <w:numId w:val="2"/>
        </w:numPr>
        <w:rPr>
          <w:color w:val="000000" w:themeColor="text1"/>
        </w:rPr>
      </w:pPr>
      <w:r w:rsidRPr="00EC2C40">
        <w:rPr>
          <w:rStyle w:val="Strong"/>
          <w:color w:val="000000" w:themeColor="text1"/>
        </w:rPr>
        <w:t>Volume:</w:t>
      </w:r>
      <w:r w:rsidRPr="00EC2C40">
        <w:rPr>
          <w:color w:val="000000" w:themeColor="text1"/>
        </w:rPr>
        <w:t xml:space="preserve"> A qualitative estimate of the likely scale of records, not an actual count.</w:t>
      </w:r>
    </w:p>
    <w:p w:rsidR="00EC2C40" w:rsidRPr="00EC2C40" w:rsidRDefault="00EC2C40" w:rsidP="00EC2C40">
      <w:pPr>
        <w:pStyle w:val="NormalWeb"/>
        <w:numPr>
          <w:ilvl w:val="0"/>
          <w:numId w:val="2"/>
        </w:numPr>
        <w:rPr>
          <w:color w:val="000000" w:themeColor="text1"/>
        </w:rPr>
      </w:pPr>
      <w:r w:rsidRPr="00EC2C40">
        <w:rPr>
          <w:rStyle w:val="Strong"/>
          <w:color w:val="000000" w:themeColor="text1"/>
        </w:rPr>
        <w:t>Quality reputation:</w:t>
      </w:r>
      <w:r w:rsidRPr="00EC2C40">
        <w:rPr>
          <w:color w:val="000000" w:themeColor="text1"/>
        </w:rPr>
        <w:t xml:space="preserve"> Marked </w:t>
      </w:r>
      <w:r w:rsidRPr="00EC2C40">
        <w:rPr>
          <w:rStyle w:val="Emphasis"/>
          <w:color w:val="000000" w:themeColor="text1"/>
        </w:rPr>
        <w:t>Unknown</w:t>
      </w:r>
      <w:r w:rsidRPr="00EC2C40">
        <w:rPr>
          <w:color w:val="000000" w:themeColor="text1"/>
        </w:rPr>
        <w:t xml:space="preserve"> because we have not inspected the data or interviewed the responsible staff.</w:t>
      </w:r>
    </w:p>
    <w:p w:rsidR="00EC2C40" w:rsidRPr="00EC2C40" w:rsidRDefault="00EC2C40" w:rsidP="00EC2C40">
      <w:pPr>
        <w:pStyle w:val="Heading3"/>
        <w:rPr>
          <w:color w:val="000000" w:themeColor="text1"/>
        </w:rPr>
      </w:pPr>
      <w:r>
        <w:rPr>
          <w:color w:val="000000" w:themeColor="text1"/>
        </w:rPr>
        <w:t>4. Initial findings</w:t>
      </w:r>
    </w:p>
    <w:p w:rsidR="00EC2C40" w:rsidRPr="00EC2C40" w:rsidRDefault="00EC2C40" w:rsidP="00EC2C40">
      <w:pPr>
        <w:pStyle w:val="NormalWeb"/>
        <w:rPr>
          <w:color w:val="000000" w:themeColor="text1"/>
        </w:rPr>
      </w:pPr>
      <w:r w:rsidRPr="00EC2C40">
        <w:rPr>
          <w:color w:val="000000" w:themeColor="text1"/>
        </w:rPr>
        <w:t>The preliminary inventory suggests several data management questions worth investigating:</w:t>
      </w:r>
    </w:p>
    <w:p w:rsidR="00EC2C40" w:rsidRPr="00EC2C40" w:rsidRDefault="00EC2C40" w:rsidP="00EC2C40">
      <w:pPr>
        <w:pStyle w:val="NormalWeb"/>
        <w:numPr>
          <w:ilvl w:val="0"/>
          <w:numId w:val="3"/>
        </w:numPr>
        <w:rPr>
          <w:color w:val="000000" w:themeColor="text1"/>
        </w:rPr>
      </w:pPr>
      <w:r w:rsidRPr="00EC2C40">
        <w:rPr>
          <w:rStyle w:val="Strong"/>
          <w:color w:val="000000" w:themeColor="text1"/>
        </w:rPr>
        <w:t>Patient identity management:</w:t>
      </w:r>
      <w:r w:rsidRPr="00EC2C40">
        <w:rPr>
          <w:color w:val="000000" w:themeColor="text1"/>
        </w:rPr>
        <w:t xml:space="preserve"> Do registration, laboratory, pharmacy and clinical records use a shared patient identifier?</w:t>
      </w:r>
    </w:p>
    <w:p w:rsidR="00EC2C40" w:rsidRPr="00EC2C40" w:rsidRDefault="00EC2C40" w:rsidP="00EC2C40">
      <w:pPr>
        <w:pStyle w:val="NormalWeb"/>
        <w:numPr>
          <w:ilvl w:val="0"/>
          <w:numId w:val="3"/>
        </w:numPr>
        <w:rPr>
          <w:color w:val="000000" w:themeColor="text1"/>
        </w:rPr>
      </w:pPr>
      <w:r w:rsidRPr="00EC2C40">
        <w:rPr>
          <w:rStyle w:val="Strong"/>
          <w:color w:val="000000" w:themeColor="text1"/>
        </w:rPr>
        <w:t>Data integration:</w:t>
      </w:r>
      <w:r w:rsidRPr="00EC2C40">
        <w:rPr>
          <w:color w:val="000000" w:themeColor="text1"/>
        </w:rPr>
        <w:t xml:space="preserve"> Can information from different departments be combined without manually re-entering it?</w:t>
      </w:r>
    </w:p>
    <w:p w:rsidR="00EC2C40" w:rsidRPr="00EC2C40" w:rsidRDefault="00EC2C40" w:rsidP="00EC2C40">
      <w:pPr>
        <w:pStyle w:val="NormalWeb"/>
        <w:numPr>
          <w:ilvl w:val="0"/>
          <w:numId w:val="3"/>
        </w:numPr>
        <w:rPr>
          <w:color w:val="000000" w:themeColor="text1"/>
        </w:rPr>
      </w:pPr>
      <w:r w:rsidRPr="00EC2C40">
        <w:rPr>
          <w:rStyle w:val="Strong"/>
          <w:color w:val="000000" w:themeColor="text1"/>
        </w:rPr>
        <w:t>Data quality:</w:t>
      </w:r>
      <w:r w:rsidRPr="00EC2C40">
        <w:rPr>
          <w:color w:val="000000" w:themeColor="text1"/>
        </w:rPr>
        <w:t xml:space="preserve"> Are patient names, contact details and identifiers recorded consistently?</w:t>
      </w:r>
    </w:p>
    <w:p w:rsidR="00EC2C40" w:rsidRPr="00EC2C40" w:rsidRDefault="00EC2C40" w:rsidP="00EC2C40">
      <w:pPr>
        <w:pStyle w:val="NormalWeb"/>
        <w:numPr>
          <w:ilvl w:val="0"/>
          <w:numId w:val="3"/>
        </w:numPr>
        <w:rPr>
          <w:color w:val="000000" w:themeColor="text1"/>
        </w:rPr>
      </w:pPr>
      <w:r w:rsidRPr="00EC2C40">
        <w:rPr>
          <w:rStyle w:val="Strong"/>
          <w:color w:val="000000" w:themeColor="text1"/>
        </w:rPr>
        <w:t>Data ownership:</w:t>
      </w:r>
      <w:r w:rsidRPr="00EC2C40">
        <w:rPr>
          <w:color w:val="000000" w:themeColor="text1"/>
        </w:rPr>
        <w:t xml:space="preserve"> Is responsibility for each source formally assigned?</w:t>
      </w:r>
    </w:p>
    <w:p w:rsidR="00EC2C40" w:rsidRPr="00EC2C40" w:rsidRDefault="00EC2C40" w:rsidP="00EC2C40">
      <w:pPr>
        <w:pStyle w:val="NormalWeb"/>
        <w:numPr>
          <w:ilvl w:val="0"/>
          <w:numId w:val="3"/>
        </w:numPr>
        <w:rPr>
          <w:color w:val="000000" w:themeColor="text1"/>
        </w:rPr>
      </w:pPr>
      <w:r w:rsidRPr="00EC2C40">
        <w:rPr>
          <w:rStyle w:val="Strong"/>
          <w:color w:val="000000" w:themeColor="text1"/>
        </w:rPr>
        <w:t>Reporting:</w:t>
      </w:r>
      <w:r w:rsidRPr="00EC2C40">
        <w:rPr>
          <w:color w:val="000000" w:themeColor="text1"/>
        </w:rPr>
        <w:t xml:space="preserve"> Can the hospital produce monthly attendance, diagnosis and revenue reports from existing records?</w:t>
      </w:r>
    </w:p>
    <w:p w:rsidR="00EC2C40" w:rsidRPr="00EC2C40" w:rsidRDefault="00EC2C40" w:rsidP="0070431F">
      <w:pPr>
        <w:pStyle w:val="NormalWeb"/>
        <w:numPr>
          <w:ilvl w:val="0"/>
          <w:numId w:val="3"/>
        </w:numPr>
        <w:outlineLvl w:val="2"/>
        <w:rPr>
          <w:color w:val="000000" w:themeColor="text1"/>
        </w:rPr>
      </w:pPr>
      <w:r w:rsidRPr="00EC2C40">
        <w:rPr>
          <w:rStyle w:val="Strong"/>
          <w:color w:val="000000" w:themeColor="text1"/>
        </w:rPr>
        <w:t>Privacy and security:</w:t>
      </w:r>
      <w:r w:rsidRPr="00EC2C40">
        <w:rPr>
          <w:color w:val="000000" w:themeColor="text1"/>
        </w:rPr>
        <w:t xml:space="preserve"> Are access to patient records and the sharing of sensitive clinical information appropriately controlled?</w:t>
      </w:r>
      <w:bookmarkStart w:id="0" w:name="_GoBack"/>
      <w:bookmarkEnd w:id="0"/>
    </w:p>
    <w:sectPr w:rsidR="00EC2C40" w:rsidRPr="00EC2C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9435AB"/>
    <w:multiLevelType w:val="multilevel"/>
    <w:tmpl w:val="27BA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A46365"/>
    <w:multiLevelType w:val="multilevel"/>
    <w:tmpl w:val="B6B0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7A063E"/>
    <w:multiLevelType w:val="multilevel"/>
    <w:tmpl w:val="4C78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CB7"/>
    <w:rsid w:val="002D6E21"/>
    <w:rsid w:val="0033239E"/>
    <w:rsid w:val="00835000"/>
    <w:rsid w:val="00BD3CB7"/>
    <w:rsid w:val="00E12E5D"/>
    <w:rsid w:val="00EC2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5CA62"/>
  <w15:chartTrackingRefBased/>
  <w15:docId w15:val="{C7A61E85-84D6-4041-BE58-7839F6536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C2C4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C2C4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3500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35000"/>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EC2C4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EC2C40"/>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EC2C4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C2C40"/>
    <w:rPr>
      <w:color w:val="0000FF"/>
      <w:u w:val="single"/>
    </w:rPr>
  </w:style>
  <w:style w:type="character" w:styleId="Strong">
    <w:name w:val="Strong"/>
    <w:basedOn w:val="DefaultParagraphFont"/>
    <w:uiPriority w:val="22"/>
    <w:qFormat/>
    <w:rsid w:val="00EC2C40"/>
    <w:rPr>
      <w:b/>
      <w:bCs/>
    </w:rPr>
  </w:style>
  <w:style w:type="character" w:styleId="Emphasis">
    <w:name w:val="Emphasis"/>
    <w:basedOn w:val="DefaultParagraphFont"/>
    <w:uiPriority w:val="20"/>
    <w:qFormat/>
    <w:rsid w:val="00EC2C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927051">
      <w:bodyDiv w:val="1"/>
      <w:marLeft w:val="0"/>
      <w:marRight w:val="0"/>
      <w:marTop w:val="0"/>
      <w:marBottom w:val="0"/>
      <w:divBdr>
        <w:top w:val="none" w:sz="0" w:space="0" w:color="auto"/>
        <w:left w:val="none" w:sz="0" w:space="0" w:color="auto"/>
        <w:bottom w:val="none" w:sz="0" w:space="0" w:color="auto"/>
        <w:right w:val="none" w:sz="0" w:space="0" w:color="auto"/>
      </w:divBdr>
    </w:div>
    <w:div w:id="1143234590">
      <w:bodyDiv w:val="1"/>
      <w:marLeft w:val="0"/>
      <w:marRight w:val="0"/>
      <w:marTop w:val="0"/>
      <w:marBottom w:val="0"/>
      <w:divBdr>
        <w:top w:val="none" w:sz="0" w:space="0" w:color="auto"/>
        <w:left w:val="none" w:sz="0" w:space="0" w:color="auto"/>
        <w:bottom w:val="none" w:sz="0" w:space="0" w:color="auto"/>
        <w:right w:val="none" w:sz="0" w:space="0" w:color="auto"/>
      </w:divBdr>
    </w:div>
    <w:div w:id="1623343811">
      <w:bodyDiv w:val="1"/>
      <w:marLeft w:val="0"/>
      <w:marRight w:val="0"/>
      <w:marTop w:val="0"/>
      <w:marBottom w:val="0"/>
      <w:divBdr>
        <w:top w:val="none" w:sz="0" w:space="0" w:color="auto"/>
        <w:left w:val="none" w:sz="0" w:space="0" w:color="auto"/>
        <w:bottom w:val="none" w:sz="0" w:space="0" w:color="auto"/>
        <w:right w:val="none" w:sz="0" w:space="0" w:color="auto"/>
      </w:divBdr>
    </w:div>
    <w:div w:id="1764060908">
      <w:bodyDiv w:val="1"/>
      <w:marLeft w:val="0"/>
      <w:marRight w:val="0"/>
      <w:marTop w:val="0"/>
      <w:marBottom w:val="0"/>
      <w:divBdr>
        <w:top w:val="none" w:sz="0" w:space="0" w:color="auto"/>
        <w:left w:val="none" w:sz="0" w:space="0" w:color="auto"/>
        <w:bottom w:val="none" w:sz="0" w:space="0" w:color="auto"/>
        <w:right w:val="none" w:sz="0" w:space="0" w:color="auto"/>
      </w:divBdr>
      <w:divsChild>
        <w:div w:id="1830750778">
          <w:marLeft w:val="0"/>
          <w:marRight w:val="0"/>
          <w:marTop w:val="0"/>
          <w:marBottom w:val="0"/>
          <w:divBdr>
            <w:top w:val="none" w:sz="0" w:space="0" w:color="auto"/>
            <w:left w:val="none" w:sz="0" w:space="0" w:color="auto"/>
            <w:bottom w:val="none" w:sz="0" w:space="0" w:color="auto"/>
            <w:right w:val="none" w:sz="0" w:space="0" w:color="auto"/>
          </w:divBdr>
          <w:divsChild>
            <w:div w:id="740518715">
              <w:marLeft w:val="0"/>
              <w:marRight w:val="0"/>
              <w:marTop w:val="0"/>
              <w:marBottom w:val="0"/>
              <w:divBdr>
                <w:top w:val="none" w:sz="0" w:space="0" w:color="auto"/>
                <w:left w:val="none" w:sz="0" w:space="0" w:color="auto"/>
                <w:bottom w:val="none" w:sz="0" w:space="0" w:color="auto"/>
                <w:right w:val="none" w:sz="0" w:space="0" w:color="auto"/>
              </w:divBdr>
              <w:divsChild>
                <w:div w:id="158274806">
                  <w:marLeft w:val="0"/>
                  <w:marRight w:val="0"/>
                  <w:marTop w:val="0"/>
                  <w:marBottom w:val="0"/>
                  <w:divBdr>
                    <w:top w:val="none" w:sz="0" w:space="0" w:color="auto"/>
                    <w:left w:val="none" w:sz="0" w:space="0" w:color="auto"/>
                    <w:bottom w:val="none" w:sz="0" w:space="0" w:color="auto"/>
                    <w:right w:val="none" w:sz="0" w:space="0" w:color="auto"/>
                  </w:divBdr>
                  <w:divsChild>
                    <w:div w:id="1255551927">
                      <w:marLeft w:val="0"/>
                      <w:marRight w:val="0"/>
                      <w:marTop w:val="0"/>
                      <w:marBottom w:val="0"/>
                      <w:divBdr>
                        <w:top w:val="none" w:sz="0" w:space="0" w:color="auto"/>
                        <w:left w:val="none" w:sz="0" w:space="0" w:color="auto"/>
                        <w:bottom w:val="none" w:sz="0" w:space="0" w:color="auto"/>
                        <w:right w:val="none" w:sz="0" w:space="0" w:color="auto"/>
                      </w:divBdr>
                      <w:divsChild>
                        <w:div w:id="266471540">
                          <w:marLeft w:val="0"/>
                          <w:marRight w:val="0"/>
                          <w:marTop w:val="0"/>
                          <w:marBottom w:val="0"/>
                          <w:divBdr>
                            <w:top w:val="none" w:sz="0" w:space="0" w:color="auto"/>
                            <w:left w:val="none" w:sz="0" w:space="0" w:color="auto"/>
                            <w:bottom w:val="none" w:sz="0" w:space="0" w:color="auto"/>
                            <w:right w:val="none" w:sz="0" w:space="0" w:color="auto"/>
                          </w:divBdr>
                          <w:divsChild>
                            <w:div w:id="565914464">
                              <w:marLeft w:val="0"/>
                              <w:marRight w:val="0"/>
                              <w:marTop w:val="0"/>
                              <w:marBottom w:val="0"/>
                              <w:divBdr>
                                <w:top w:val="none" w:sz="0" w:space="0" w:color="auto"/>
                                <w:left w:val="none" w:sz="0" w:space="0" w:color="auto"/>
                                <w:bottom w:val="none" w:sz="0" w:space="0" w:color="auto"/>
                                <w:right w:val="none" w:sz="0" w:space="0" w:color="auto"/>
                              </w:divBdr>
                              <w:divsChild>
                                <w:div w:id="1174954368">
                                  <w:marLeft w:val="0"/>
                                  <w:marRight w:val="0"/>
                                  <w:marTop w:val="0"/>
                                  <w:marBottom w:val="0"/>
                                  <w:divBdr>
                                    <w:top w:val="none" w:sz="0" w:space="0" w:color="auto"/>
                                    <w:left w:val="none" w:sz="0" w:space="0" w:color="auto"/>
                                    <w:bottom w:val="none" w:sz="0" w:space="0" w:color="auto"/>
                                    <w:right w:val="none" w:sz="0" w:space="0" w:color="auto"/>
                                  </w:divBdr>
                                  <w:divsChild>
                                    <w:div w:id="225803114">
                                      <w:marLeft w:val="0"/>
                                      <w:marRight w:val="0"/>
                                      <w:marTop w:val="0"/>
                                      <w:marBottom w:val="0"/>
                                      <w:divBdr>
                                        <w:top w:val="none" w:sz="0" w:space="0" w:color="auto"/>
                                        <w:left w:val="none" w:sz="0" w:space="0" w:color="auto"/>
                                        <w:bottom w:val="none" w:sz="0" w:space="0" w:color="auto"/>
                                        <w:right w:val="none" w:sz="0" w:space="0" w:color="auto"/>
                                      </w:divBdr>
                                      <w:divsChild>
                                        <w:div w:id="1295985631">
                                          <w:marLeft w:val="0"/>
                                          <w:marRight w:val="0"/>
                                          <w:marTop w:val="0"/>
                                          <w:marBottom w:val="0"/>
                                          <w:divBdr>
                                            <w:top w:val="none" w:sz="0" w:space="0" w:color="auto"/>
                                            <w:left w:val="none" w:sz="0" w:space="0" w:color="auto"/>
                                            <w:bottom w:val="none" w:sz="0" w:space="0" w:color="auto"/>
                                            <w:right w:val="none" w:sz="0" w:space="0" w:color="auto"/>
                                          </w:divBdr>
                                          <w:divsChild>
                                            <w:div w:id="181390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3</Pages>
  <Words>642</Words>
  <Characters>3662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Kasimagwa Steven</dc:creator>
  <cp:keywords/>
  <dc:description/>
  <cp:lastModifiedBy>Kasimagwa Steven</cp:lastModifiedBy>
  <cp:revision>5</cp:revision>
  <dcterms:created xsi:type="dcterms:W3CDTF">2026-10-08T15:58:00Z</dcterms:created>
  <dcterms:modified xsi:type="dcterms:W3CDTF">2026-10-09T17:21:00Z</dcterms:modified>
</cp:coreProperties>
</file>