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11B1" w:rsidRPr="00FA11B1" w:rsidRDefault="00FA11B1" w:rsidP="00FA11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r w:rsidRPr="00FA11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1: Data Lifecycle Design</w:t>
      </w:r>
    </w:p>
    <w:p w:rsidR="00FA11B1" w:rsidRPr="00FA11B1" w:rsidRDefault="00FA11B1" w:rsidP="00FA11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11B1">
        <w:rPr>
          <w:rFonts w:ascii="Times New Roman" w:eastAsia="Times New Roman" w:hAnsi="Times New Roman" w:cs="Times New Roman"/>
          <w:b/>
          <w:bCs/>
          <w:sz w:val="36"/>
          <w:szCs w:val="36"/>
        </w:rPr>
        <w:t>1. Objective</w:t>
      </w:r>
    </w:p>
    <w:p w:rsidR="00FA11B1" w:rsidRPr="00FA11B1" w:rsidRDefault="00FA11B1" w:rsidP="00FA1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1B1">
        <w:rPr>
          <w:rFonts w:ascii="Times New Roman" w:eastAsia="Times New Roman" w:hAnsi="Times New Roman" w:cs="Times New Roman"/>
          <w:sz w:val="24"/>
          <w:szCs w:val="24"/>
        </w:rPr>
        <w:t>The objective of this phase is to define how data is created, stored, used, archived and eventually deleted. A documented lifecycle helps ensure that data is accessible when needed, protected against unauthorized access and retained for the required period.</w:t>
      </w:r>
    </w:p>
    <w:p w:rsidR="00FA11B1" w:rsidRPr="00FA11B1" w:rsidRDefault="00FA11B1" w:rsidP="00FA1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1B1">
        <w:rPr>
          <w:rFonts w:ascii="Times New Roman" w:eastAsia="Times New Roman" w:hAnsi="Times New Roman" w:cs="Times New Roman"/>
          <w:sz w:val="24"/>
          <w:szCs w:val="24"/>
        </w:rPr>
        <w:t xml:space="preserve">The project brief specifies three data classes: </w:t>
      </w:r>
      <w:r w:rsidRPr="00FA11B1">
        <w:rPr>
          <w:rFonts w:ascii="Times New Roman" w:eastAsia="Times New Roman" w:hAnsi="Times New Roman" w:cs="Times New Roman"/>
          <w:b/>
          <w:bCs/>
          <w:sz w:val="24"/>
          <w:szCs w:val="24"/>
        </w:rPr>
        <w:t>Clinical, Billing and Marketing Consent</w:t>
      </w:r>
      <w:r w:rsidRPr="00FA11B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A11B1" w:rsidRPr="00FA11B1" w:rsidRDefault="00FA11B1" w:rsidP="00FA11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A11B1">
        <w:rPr>
          <w:rFonts w:ascii="Times New Roman" w:eastAsia="Times New Roman" w:hAnsi="Times New Roman" w:cs="Times New Roman"/>
          <w:b/>
          <w:bCs/>
          <w:sz w:val="36"/>
          <w:szCs w:val="36"/>
        </w:rPr>
        <w:t>Lifecycle maps</w:t>
      </w:r>
    </w:p>
    <w:p w:rsidR="00FA11B1" w:rsidRPr="00FA11B1" w:rsidRDefault="00FA11B1" w:rsidP="00FA11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</w:t>
      </w:r>
      <w:r w:rsidRPr="00FA11B1">
        <w:rPr>
          <w:rFonts w:ascii="Times New Roman" w:eastAsia="Times New Roman" w:hAnsi="Times New Roman" w:cs="Times New Roman"/>
          <w:b/>
          <w:bCs/>
          <w:sz w:val="27"/>
          <w:szCs w:val="27"/>
        </w:rPr>
        <w:t>.1 Clinical data lifecycle</w:t>
      </w:r>
    </w:p>
    <w:p w:rsidR="00FA11B1" w:rsidRDefault="00FA11B1" w:rsidP="00FA1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1B1">
        <w:rPr>
          <w:rFonts w:ascii="Times New Roman" w:eastAsia="Times New Roman" w:hAnsi="Times New Roman" w:cs="Times New Roman"/>
          <w:b/>
          <w:bCs/>
          <w:sz w:val="24"/>
          <w:szCs w:val="24"/>
        </w:rPr>
        <w:t>Examples:</w:t>
      </w:r>
      <w:r w:rsidRPr="00FA11B1">
        <w:rPr>
          <w:rFonts w:ascii="Times New Roman" w:eastAsia="Times New Roman" w:hAnsi="Times New Roman" w:cs="Times New Roman"/>
          <w:sz w:val="24"/>
          <w:szCs w:val="24"/>
        </w:rPr>
        <w:t xml:space="preserve"> Patient registration details, consultation records, diagnoses, laboratory results and treatment records.</w:t>
      </w:r>
    </w:p>
    <w:tbl>
      <w:tblPr>
        <w:tblW w:w="8980" w:type="dxa"/>
        <w:tblInd w:w="-5" w:type="dxa"/>
        <w:tblLook w:val="04A0" w:firstRow="1" w:lastRow="0" w:firstColumn="1" w:lastColumn="0" w:noHBand="0" w:noVBand="1"/>
      </w:tblPr>
      <w:tblGrid>
        <w:gridCol w:w="1500"/>
        <w:gridCol w:w="7480"/>
      </w:tblGrid>
      <w:tr w:rsidR="00FA11B1" w:rsidRPr="00FA11B1" w:rsidTr="00FA11B1">
        <w:trPr>
          <w:trHeight w:val="600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1B1" w:rsidRPr="00FA11B1" w:rsidRDefault="00FA11B1" w:rsidP="00FA11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A11B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Lifecycle stage</w:t>
            </w:r>
          </w:p>
        </w:tc>
        <w:tc>
          <w:tcPr>
            <w:tcW w:w="7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1B1" w:rsidRPr="00FA11B1" w:rsidRDefault="00FA11B1" w:rsidP="00FA11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A11B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</w:tr>
      <w:tr w:rsidR="00FA11B1" w:rsidRPr="00FA11B1" w:rsidTr="00FA11B1">
        <w:trPr>
          <w:trHeight w:val="62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1B1" w:rsidRPr="00FA11B1" w:rsidRDefault="00FA11B1" w:rsidP="00FA11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11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Create</w:t>
            </w:r>
          </w:p>
        </w:tc>
        <w:tc>
          <w:tcPr>
            <w:tcW w:w="7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1B1" w:rsidRPr="00FA11B1" w:rsidRDefault="00FA11B1" w:rsidP="00FA11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11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Clinical data is created when patients register, consult clinicians, undergo laboratory tests or receive treatment.</w:t>
            </w:r>
          </w:p>
        </w:tc>
      </w:tr>
      <w:tr w:rsidR="00FA11B1" w:rsidRPr="00FA11B1" w:rsidTr="00FA11B1">
        <w:trPr>
          <w:trHeight w:val="62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1B1" w:rsidRPr="00FA11B1" w:rsidRDefault="00FA11B1" w:rsidP="00FA11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11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7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1B1" w:rsidRPr="00FA11B1" w:rsidRDefault="00FA11B1" w:rsidP="00FA11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11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Records are stored in authorized clinical systems or approved paper-record storage. Access is restricted to authorized personnel.</w:t>
            </w:r>
          </w:p>
        </w:tc>
      </w:tr>
      <w:tr w:rsidR="00FA11B1" w:rsidRPr="00FA11B1" w:rsidTr="00FA11B1">
        <w:trPr>
          <w:trHeight w:val="62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1B1" w:rsidRPr="00FA11B1" w:rsidRDefault="00FA11B1" w:rsidP="00FA11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11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</w:t>
            </w:r>
          </w:p>
        </w:tc>
        <w:tc>
          <w:tcPr>
            <w:tcW w:w="7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1B1" w:rsidRPr="00FA11B1" w:rsidRDefault="00FA11B1" w:rsidP="00FA11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11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Authorized healthcare professionals use the records to provide care. Approved, appropriately protected data may also support clinical reporting.</w:t>
            </w:r>
          </w:p>
        </w:tc>
      </w:tr>
      <w:tr w:rsidR="00FA11B1" w:rsidRPr="00FA11B1" w:rsidTr="00FA11B1">
        <w:trPr>
          <w:trHeight w:val="93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1B1" w:rsidRPr="00FA11B1" w:rsidRDefault="00FA11B1" w:rsidP="00FA11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11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Archive</w:t>
            </w:r>
          </w:p>
        </w:tc>
        <w:tc>
          <w:tcPr>
            <w:tcW w:w="7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1B1" w:rsidRPr="00FA11B1" w:rsidRDefault="00FA11B1" w:rsidP="00FA11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11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Records are archived after 7 years under the project brief's lifecycle policy. Archived records remain protected and accessible to authorized personnel when required.</w:t>
            </w:r>
          </w:p>
        </w:tc>
      </w:tr>
      <w:tr w:rsidR="00FA11B1" w:rsidRPr="00FA11B1" w:rsidTr="00FA11B1">
        <w:trPr>
          <w:trHeight w:val="93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1B1" w:rsidRPr="00FA11B1" w:rsidRDefault="00FA11B1" w:rsidP="00FA11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11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Delete</w:t>
            </w:r>
          </w:p>
        </w:tc>
        <w:tc>
          <w:tcPr>
            <w:tcW w:w="7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1B1" w:rsidRPr="00FA11B1" w:rsidRDefault="00FA11B1" w:rsidP="00FA11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11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Records reach the end of the 10-year retention period and are securely purged when legally and operationally permitted. Any applicable preservation requirements must be checked before deletion.</w:t>
            </w:r>
          </w:p>
        </w:tc>
      </w:tr>
    </w:tbl>
    <w:p w:rsidR="00FA11B1" w:rsidRPr="00FA11B1" w:rsidRDefault="00FA11B1" w:rsidP="00FA1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1B1">
        <w:rPr>
          <w:rFonts w:ascii="Times New Roman" w:eastAsia="Times New Roman" w:hAnsi="Times New Roman" w:cs="Times New Roman"/>
          <w:b/>
          <w:bCs/>
          <w:sz w:val="24"/>
          <w:szCs w:val="24"/>
        </w:rPr>
        <w:t>Data owner:</w:t>
      </w:r>
      <w:r w:rsidRPr="00FA11B1">
        <w:rPr>
          <w:rFonts w:ascii="Times New Roman" w:eastAsia="Times New Roman" w:hAnsi="Times New Roman" w:cs="Times New Roman"/>
          <w:sz w:val="24"/>
          <w:szCs w:val="24"/>
        </w:rPr>
        <w:t xml:space="preserve"> Head of Clinical Services</w:t>
      </w:r>
      <w:r w:rsidRPr="00FA11B1">
        <w:rPr>
          <w:rFonts w:ascii="Times New Roman" w:eastAsia="Times New Roman" w:hAnsi="Times New Roman" w:cs="Times New Roman"/>
          <w:sz w:val="24"/>
          <w:szCs w:val="24"/>
        </w:rPr>
        <w:br/>
      </w:r>
      <w:r w:rsidRPr="00FA11B1">
        <w:rPr>
          <w:rFonts w:ascii="Times New Roman" w:eastAsia="Times New Roman" w:hAnsi="Times New Roman" w:cs="Times New Roman"/>
          <w:b/>
          <w:bCs/>
          <w:sz w:val="24"/>
          <w:szCs w:val="24"/>
        </w:rPr>
        <w:t>Retention period:</w:t>
      </w:r>
      <w:r w:rsidRPr="00FA11B1">
        <w:rPr>
          <w:rFonts w:ascii="Times New Roman" w:eastAsia="Times New Roman" w:hAnsi="Times New Roman" w:cs="Times New Roman"/>
          <w:sz w:val="24"/>
          <w:szCs w:val="24"/>
        </w:rPr>
        <w:t xml:space="preserve"> 10 years</w:t>
      </w:r>
      <w:r w:rsidRPr="00FA11B1">
        <w:rPr>
          <w:rFonts w:ascii="Times New Roman" w:eastAsia="Times New Roman" w:hAnsi="Times New Roman" w:cs="Times New Roman"/>
          <w:sz w:val="24"/>
          <w:szCs w:val="24"/>
        </w:rPr>
        <w:br/>
      </w:r>
      <w:r w:rsidRPr="00FA11B1">
        <w:rPr>
          <w:rFonts w:ascii="Times New Roman" w:eastAsia="Times New Roman" w:hAnsi="Times New Roman" w:cs="Times New Roman"/>
          <w:b/>
          <w:bCs/>
          <w:sz w:val="24"/>
          <w:szCs w:val="24"/>
        </w:rPr>
        <w:t>Archiving point:</w:t>
      </w:r>
      <w:r w:rsidRPr="00FA11B1">
        <w:rPr>
          <w:rFonts w:ascii="Times New Roman" w:eastAsia="Times New Roman" w:hAnsi="Times New Roman" w:cs="Times New Roman"/>
          <w:sz w:val="24"/>
          <w:szCs w:val="24"/>
        </w:rPr>
        <w:t xml:space="preserve"> After 7 years</w:t>
      </w:r>
      <w:r w:rsidRPr="00FA11B1">
        <w:rPr>
          <w:rFonts w:ascii="Times New Roman" w:eastAsia="Times New Roman" w:hAnsi="Times New Roman" w:cs="Times New Roman"/>
          <w:sz w:val="24"/>
          <w:szCs w:val="24"/>
        </w:rPr>
        <w:br/>
      </w:r>
      <w:r w:rsidRPr="00FA11B1">
        <w:rPr>
          <w:rFonts w:ascii="Times New Roman" w:eastAsia="Times New Roman" w:hAnsi="Times New Roman" w:cs="Times New Roman"/>
          <w:b/>
          <w:bCs/>
          <w:sz w:val="24"/>
          <w:szCs w:val="24"/>
        </w:rPr>
        <w:t>Protection requirements:</w:t>
      </w:r>
      <w:r w:rsidRPr="00FA11B1">
        <w:rPr>
          <w:rFonts w:ascii="Times New Roman" w:eastAsia="Times New Roman" w:hAnsi="Times New Roman" w:cs="Times New Roman"/>
          <w:sz w:val="24"/>
          <w:szCs w:val="24"/>
        </w:rPr>
        <w:t xml:space="preserve"> Access control, confidentiality, audit trails and secure disposal.</w:t>
      </w:r>
    </w:p>
    <w:p w:rsidR="00FA11B1" w:rsidRDefault="00FA11B1" w:rsidP="00FA11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FA11B1" w:rsidRDefault="00FA11B1" w:rsidP="00FA11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FA11B1" w:rsidRDefault="00FA11B1" w:rsidP="00FA11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FA11B1" w:rsidRPr="00FA11B1" w:rsidRDefault="00FA11B1" w:rsidP="00FA11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</w:t>
      </w:r>
      <w:r w:rsidRPr="00FA11B1">
        <w:rPr>
          <w:rFonts w:ascii="Times New Roman" w:eastAsia="Times New Roman" w:hAnsi="Times New Roman" w:cs="Times New Roman"/>
          <w:b/>
          <w:bCs/>
          <w:sz w:val="27"/>
          <w:szCs w:val="27"/>
        </w:rPr>
        <w:t>.2 Billing data lifecycle</w:t>
      </w:r>
    </w:p>
    <w:p w:rsidR="00FA11B1" w:rsidRPr="00FA11B1" w:rsidRDefault="00FA11B1" w:rsidP="00FA1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1B1">
        <w:rPr>
          <w:rFonts w:ascii="Times New Roman" w:eastAsia="Times New Roman" w:hAnsi="Times New Roman" w:cs="Times New Roman"/>
          <w:b/>
          <w:bCs/>
          <w:sz w:val="24"/>
          <w:szCs w:val="24"/>
        </w:rPr>
        <w:t>Examples:</w:t>
      </w:r>
      <w:r w:rsidRPr="00FA11B1">
        <w:rPr>
          <w:rFonts w:ascii="Times New Roman" w:eastAsia="Times New Roman" w:hAnsi="Times New Roman" w:cs="Times New Roman"/>
          <w:sz w:val="24"/>
          <w:szCs w:val="24"/>
        </w:rPr>
        <w:t xml:space="preserve"> Patient invoices, service charges, payment records and billing adjustments.</w:t>
      </w:r>
    </w:p>
    <w:tbl>
      <w:tblPr>
        <w:tblW w:w="8980" w:type="dxa"/>
        <w:tblInd w:w="-5" w:type="dxa"/>
        <w:tblLook w:val="04A0" w:firstRow="1" w:lastRow="0" w:firstColumn="1" w:lastColumn="0" w:noHBand="0" w:noVBand="1"/>
      </w:tblPr>
      <w:tblGrid>
        <w:gridCol w:w="1500"/>
        <w:gridCol w:w="7480"/>
      </w:tblGrid>
      <w:tr w:rsidR="00FA11B1" w:rsidRPr="00FA11B1" w:rsidTr="00FA11B1">
        <w:trPr>
          <w:trHeight w:val="600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1B1" w:rsidRPr="00FA11B1" w:rsidRDefault="00FA11B1" w:rsidP="00FA11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A11B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Lifecycle stage</w:t>
            </w:r>
          </w:p>
        </w:tc>
        <w:tc>
          <w:tcPr>
            <w:tcW w:w="7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1B1" w:rsidRPr="00FA11B1" w:rsidRDefault="00FA11B1" w:rsidP="00FA11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A11B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</w:tr>
      <w:tr w:rsidR="00FA11B1" w:rsidRPr="00FA11B1" w:rsidTr="00FA11B1">
        <w:trPr>
          <w:trHeight w:val="62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1B1" w:rsidRPr="00FA11B1" w:rsidRDefault="00FA11B1" w:rsidP="00FA11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11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Create</w:t>
            </w:r>
          </w:p>
        </w:tc>
        <w:tc>
          <w:tcPr>
            <w:tcW w:w="7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1B1" w:rsidRPr="00FA11B1" w:rsidRDefault="00FA11B1" w:rsidP="00FA11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11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Billing records are generated when a patient receives a chargeable service or makes a payment.</w:t>
            </w:r>
          </w:p>
        </w:tc>
      </w:tr>
      <w:tr w:rsidR="00FA11B1" w:rsidRPr="00FA11B1" w:rsidTr="00FA11B1">
        <w:trPr>
          <w:trHeight w:val="62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1B1" w:rsidRPr="00FA11B1" w:rsidRDefault="00FA11B1" w:rsidP="00FA11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11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7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1B1" w:rsidRPr="00FA11B1" w:rsidRDefault="00FA11B1" w:rsidP="00FA11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11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Records are stored in an authorized billing or accounting system with appropriate access restrictions.</w:t>
            </w:r>
          </w:p>
        </w:tc>
      </w:tr>
      <w:tr w:rsidR="00FA11B1" w:rsidRPr="00FA11B1" w:rsidTr="00FA11B1">
        <w:trPr>
          <w:trHeight w:val="62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1B1" w:rsidRPr="00FA11B1" w:rsidRDefault="00FA11B1" w:rsidP="00FA11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11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</w:t>
            </w:r>
          </w:p>
        </w:tc>
        <w:tc>
          <w:tcPr>
            <w:tcW w:w="7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1B1" w:rsidRPr="00FA11B1" w:rsidRDefault="00FA11B1" w:rsidP="00FA11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11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Authorized finance staff use the records for payment reconciliation, financial reporting and revenue analysis.</w:t>
            </w:r>
          </w:p>
        </w:tc>
      </w:tr>
      <w:tr w:rsidR="00FA11B1" w:rsidRPr="00FA11B1" w:rsidTr="00FA11B1">
        <w:trPr>
          <w:trHeight w:val="62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1B1" w:rsidRPr="00FA11B1" w:rsidRDefault="00FA11B1" w:rsidP="00FA11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11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Archive</w:t>
            </w:r>
          </w:p>
        </w:tc>
        <w:tc>
          <w:tcPr>
            <w:tcW w:w="7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1B1" w:rsidRPr="00FA11B1" w:rsidRDefault="00FA11B1" w:rsidP="00FA11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11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Records are archived after 5 years under the project brief's policy. Archived billing information remains protected.</w:t>
            </w:r>
          </w:p>
        </w:tc>
      </w:tr>
      <w:tr w:rsidR="00FA11B1" w:rsidRPr="00FA11B1" w:rsidTr="00FA11B1">
        <w:trPr>
          <w:trHeight w:val="62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1B1" w:rsidRPr="00FA11B1" w:rsidRDefault="00FA11B1" w:rsidP="00FA11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11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Delete</w:t>
            </w:r>
          </w:p>
        </w:tc>
        <w:tc>
          <w:tcPr>
            <w:tcW w:w="7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1B1" w:rsidRPr="00FA11B1" w:rsidRDefault="00FA11B1" w:rsidP="00FA11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11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Records reach the end of the 7-year retention period and are securely disposed of when applicable legal and financial obligations permit.</w:t>
            </w:r>
          </w:p>
        </w:tc>
      </w:tr>
    </w:tbl>
    <w:p w:rsidR="00FA11B1" w:rsidRPr="00FA11B1" w:rsidRDefault="00FA11B1" w:rsidP="00FA1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1B1">
        <w:rPr>
          <w:rFonts w:ascii="Times New Roman" w:eastAsia="Times New Roman" w:hAnsi="Times New Roman" w:cs="Times New Roman"/>
          <w:b/>
          <w:bCs/>
          <w:sz w:val="24"/>
          <w:szCs w:val="24"/>
        </w:rPr>
        <w:t>Data owner:</w:t>
      </w:r>
      <w:r w:rsidRPr="00FA11B1">
        <w:rPr>
          <w:rFonts w:ascii="Times New Roman" w:eastAsia="Times New Roman" w:hAnsi="Times New Roman" w:cs="Times New Roman"/>
          <w:sz w:val="24"/>
          <w:szCs w:val="24"/>
        </w:rPr>
        <w:t xml:space="preserve"> Finance Manager</w:t>
      </w:r>
      <w:r w:rsidRPr="00FA11B1">
        <w:rPr>
          <w:rFonts w:ascii="Times New Roman" w:eastAsia="Times New Roman" w:hAnsi="Times New Roman" w:cs="Times New Roman"/>
          <w:sz w:val="24"/>
          <w:szCs w:val="24"/>
        </w:rPr>
        <w:br/>
      </w:r>
      <w:r w:rsidRPr="00FA11B1">
        <w:rPr>
          <w:rFonts w:ascii="Times New Roman" w:eastAsia="Times New Roman" w:hAnsi="Times New Roman" w:cs="Times New Roman"/>
          <w:b/>
          <w:bCs/>
          <w:sz w:val="24"/>
          <w:szCs w:val="24"/>
        </w:rPr>
        <w:t>Retention period:</w:t>
      </w:r>
      <w:r w:rsidRPr="00FA11B1">
        <w:rPr>
          <w:rFonts w:ascii="Times New Roman" w:eastAsia="Times New Roman" w:hAnsi="Times New Roman" w:cs="Times New Roman"/>
          <w:sz w:val="24"/>
          <w:szCs w:val="24"/>
        </w:rPr>
        <w:t xml:space="preserve"> 7 years</w:t>
      </w:r>
      <w:r w:rsidRPr="00FA11B1">
        <w:rPr>
          <w:rFonts w:ascii="Times New Roman" w:eastAsia="Times New Roman" w:hAnsi="Times New Roman" w:cs="Times New Roman"/>
          <w:sz w:val="24"/>
          <w:szCs w:val="24"/>
        </w:rPr>
        <w:br/>
      </w:r>
      <w:r w:rsidRPr="00FA11B1">
        <w:rPr>
          <w:rFonts w:ascii="Times New Roman" w:eastAsia="Times New Roman" w:hAnsi="Times New Roman" w:cs="Times New Roman"/>
          <w:b/>
          <w:bCs/>
          <w:sz w:val="24"/>
          <w:szCs w:val="24"/>
        </w:rPr>
        <w:t>Archiving point:</w:t>
      </w:r>
      <w:r w:rsidRPr="00FA11B1">
        <w:rPr>
          <w:rFonts w:ascii="Times New Roman" w:eastAsia="Times New Roman" w:hAnsi="Times New Roman" w:cs="Times New Roman"/>
          <w:sz w:val="24"/>
          <w:szCs w:val="24"/>
        </w:rPr>
        <w:t xml:space="preserve"> After 5 years</w:t>
      </w:r>
      <w:r w:rsidRPr="00FA11B1">
        <w:rPr>
          <w:rFonts w:ascii="Times New Roman" w:eastAsia="Times New Roman" w:hAnsi="Times New Roman" w:cs="Times New Roman"/>
          <w:sz w:val="24"/>
          <w:szCs w:val="24"/>
        </w:rPr>
        <w:br/>
      </w:r>
      <w:r w:rsidRPr="00FA11B1">
        <w:rPr>
          <w:rFonts w:ascii="Times New Roman" w:eastAsia="Times New Roman" w:hAnsi="Times New Roman" w:cs="Times New Roman"/>
          <w:b/>
          <w:bCs/>
          <w:sz w:val="24"/>
          <w:szCs w:val="24"/>
        </w:rPr>
        <w:t>Protection requirements:</w:t>
      </w:r>
      <w:r w:rsidRPr="00FA11B1">
        <w:rPr>
          <w:rFonts w:ascii="Times New Roman" w:eastAsia="Times New Roman" w:hAnsi="Times New Roman" w:cs="Times New Roman"/>
          <w:sz w:val="24"/>
          <w:szCs w:val="24"/>
        </w:rPr>
        <w:t xml:space="preserve"> Restricted access, auditability and preservation of billing history.</w:t>
      </w:r>
    </w:p>
    <w:p w:rsidR="00FA11B1" w:rsidRPr="00FA11B1" w:rsidRDefault="00FA11B1" w:rsidP="00FA1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1B1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FA11B1">
        <w:rPr>
          <w:rFonts w:ascii="Times New Roman" w:eastAsia="Times New Roman" w:hAnsi="Times New Roman" w:cs="Times New Roman"/>
          <w:sz w:val="24"/>
          <w:szCs w:val="24"/>
        </w:rPr>
        <w:t>MediLink</w:t>
      </w:r>
      <w:proofErr w:type="spellEnd"/>
      <w:r w:rsidRPr="00FA11B1">
        <w:rPr>
          <w:rFonts w:ascii="Times New Roman" w:eastAsia="Times New Roman" w:hAnsi="Times New Roman" w:cs="Times New Roman"/>
          <w:sz w:val="24"/>
          <w:szCs w:val="24"/>
        </w:rPr>
        <w:t xml:space="preserve"> brief also requires billing records to be immutable. Corrections should be made through adjustment records rather than changing existing billing rows.</w:t>
      </w:r>
    </w:p>
    <w:p w:rsidR="00FA11B1" w:rsidRPr="00FA11B1" w:rsidRDefault="00FA11B1" w:rsidP="00FA11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A11B1">
        <w:rPr>
          <w:rFonts w:ascii="Times New Roman" w:eastAsia="Times New Roman" w:hAnsi="Times New Roman" w:cs="Times New Roman"/>
          <w:b/>
          <w:bCs/>
          <w:sz w:val="27"/>
          <w:szCs w:val="27"/>
        </w:rPr>
        <w:t>3.3 Marketing consent data lifecycle</w:t>
      </w:r>
    </w:p>
    <w:p w:rsidR="00FA11B1" w:rsidRPr="00FA11B1" w:rsidRDefault="00FA11B1" w:rsidP="00FA1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1B1">
        <w:rPr>
          <w:rFonts w:ascii="Times New Roman" w:eastAsia="Times New Roman" w:hAnsi="Times New Roman" w:cs="Times New Roman"/>
          <w:b/>
          <w:bCs/>
          <w:sz w:val="24"/>
          <w:szCs w:val="24"/>
        </w:rPr>
        <w:t>Examples:</w:t>
      </w:r>
      <w:r w:rsidRPr="00FA11B1">
        <w:rPr>
          <w:rFonts w:ascii="Times New Roman" w:eastAsia="Times New Roman" w:hAnsi="Times New Roman" w:cs="Times New Roman"/>
          <w:sz w:val="24"/>
          <w:szCs w:val="24"/>
        </w:rPr>
        <w:t xml:space="preserve"> Records showing whether an individual has consented to receive promotional communications.</w:t>
      </w:r>
    </w:p>
    <w:tbl>
      <w:tblPr>
        <w:tblW w:w="9040" w:type="dxa"/>
        <w:tblInd w:w="-5" w:type="dxa"/>
        <w:tblLook w:val="04A0" w:firstRow="1" w:lastRow="0" w:firstColumn="1" w:lastColumn="0" w:noHBand="0" w:noVBand="1"/>
      </w:tblPr>
      <w:tblGrid>
        <w:gridCol w:w="1500"/>
        <w:gridCol w:w="7540"/>
      </w:tblGrid>
      <w:tr w:rsidR="00FA11B1" w:rsidRPr="00FA11B1" w:rsidTr="00FA11B1">
        <w:trPr>
          <w:trHeight w:val="600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1B1" w:rsidRPr="00FA11B1" w:rsidRDefault="00FA11B1" w:rsidP="00FA11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A11B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Lifecycle stage</w:t>
            </w:r>
          </w:p>
        </w:tc>
        <w:tc>
          <w:tcPr>
            <w:tcW w:w="7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1B1" w:rsidRPr="00FA11B1" w:rsidRDefault="00FA11B1" w:rsidP="00FA11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FA11B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</w:tr>
      <w:tr w:rsidR="00FA11B1" w:rsidRPr="00FA11B1" w:rsidTr="00FA11B1">
        <w:trPr>
          <w:trHeight w:val="62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1B1" w:rsidRPr="00FA11B1" w:rsidRDefault="00FA11B1" w:rsidP="00FA11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11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Create</w:t>
            </w:r>
          </w:p>
        </w:tc>
        <w:tc>
          <w:tcPr>
            <w:tcW w:w="7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1B1" w:rsidRPr="00FA11B1" w:rsidRDefault="00FA11B1" w:rsidP="00FA11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11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consent record is created when an individual provides a marketing preference or changes an existing preference.</w:t>
            </w:r>
          </w:p>
        </w:tc>
      </w:tr>
      <w:tr w:rsidR="00FA11B1" w:rsidRPr="00FA11B1" w:rsidTr="00FA11B1">
        <w:trPr>
          <w:trHeight w:val="62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1B1" w:rsidRPr="00FA11B1" w:rsidRDefault="00FA11B1" w:rsidP="00FA11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11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Store</w:t>
            </w:r>
          </w:p>
        </w:tc>
        <w:tc>
          <w:tcPr>
            <w:tcW w:w="7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1B1" w:rsidRPr="00FA11B1" w:rsidRDefault="00FA11B1" w:rsidP="00FA11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11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Consent status, collection date and relevant supporting information are stored in an authorized system.</w:t>
            </w:r>
          </w:p>
        </w:tc>
      </w:tr>
      <w:tr w:rsidR="00FA11B1" w:rsidRPr="00FA11B1" w:rsidTr="00FA11B1">
        <w:trPr>
          <w:trHeight w:val="62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1B1" w:rsidRPr="00FA11B1" w:rsidRDefault="00FA11B1" w:rsidP="00FA11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11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</w:t>
            </w:r>
          </w:p>
        </w:tc>
        <w:tc>
          <w:tcPr>
            <w:tcW w:w="7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1B1" w:rsidRPr="00FA11B1" w:rsidRDefault="00FA11B1" w:rsidP="00FA11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11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Authorized personnel use the record to determine whether marketing communications are permitted.</w:t>
            </w:r>
          </w:p>
        </w:tc>
      </w:tr>
      <w:tr w:rsidR="00FA11B1" w:rsidRPr="00FA11B1" w:rsidTr="00FA11B1">
        <w:trPr>
          <w:trHeight w:val="62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1B1" w:rsidRPr="00FA11B1" w:rsidRDefault="00FA11B1" w:rsidP="00FA11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11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Archive</w:t>
            </w:r>
          </w:p>
        </w:tc>
        <w:tc>
          <w:tcPr>
            <w:tcW w:w="7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1B1" w:rsidRPr="00FA11B1" w:rsidRDefault="00FA11B1" w:rsidP="00FA11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11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Records are archived after 1 year under the project brief's policy. Archived records remain access-controlled.</w:t>
            </w:r>
          </w:p>
        </w:tc>
      </w:tr>
      <w:tr w:rsidR="00FA11B1" w:rsidRPr="00FA11B1" w:rsidTr="00FA11B1">
        <w:trPr>
          <w:trHeight w:val="93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1B1" w:rsidRPr="00FA11B1" w:rsidRDefault="00FA11B1" w:rsidP="00FA11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11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Delete</w:t>
            </w:r>
          </w:p>
        </w:tc>
        <w:tc>
          <w:tcPr>
            <w:tcW w:w="7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A11B1" w:rsidRPr="00FA11B1" w:rsidRDefault="00FA11B1" w:rsidP="00FA11B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A11B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Records reach the end of the 2-year retention period and are securely deleted when permitted. Any evidence that must be retained to demonstrate compliance should be handled according to an approved policy.</w:t>
            </w:r>
          </w:p>
        </w:tc>
      </w:tr>
    </w:tbl>
    <w:p w:rsidR="00FA11B1" w:rsidRDefault="00FA11B1" w:rsidP="00FA1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A11B1" w:rsidRPr="00FA11B1" w:rsidRDefault="00FA11B1" w:rsidP="00FA11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A11B1">
        <w:rPr>
          <w:rFonts w:ascii="Times New Roman" w:eastAsia="Times New Roman" w:hAnsi="Times New Roman" w:cs="Times New Roman"/>
          <w:b/>
          <w:bCs/>
          <w:sz w:val="24"/>
          <w:szCs w:val="24"/>
        </w:rPr>
        <w:t>Data owner:</w:t>
      </w:r>
      <w:r w:rsidRPr="00FA11B1">
        <w:rPr>
          <w:rFonts w:ascii="Times New Roman" w:eastAsia="Times New Roman" w:hAnsi="Times New Roman" w:cs="Times New Roman"/>
          <w:sz w:val="24"/>
          <w:szCs w:val="24"/>
        </w:rPr>
        <w:t xml:space="preserve"> Data Steward</w:t>
      </w:r>
      <w:r w:rsidRPr="00FA11B1">
        <w:rPr>
          <w:rFonts w:ascii="Times New Roman" w:eastAsia="Times New Roman" w:hAnsi="Times New Roman" w:cs="Times New Roman"/>
          <w:sz w:val="24"/>
          <w:szCs w:val="24"/>
        </w:rPr>
        <w:br/>
      </w:r>
      <w:r w:rsidRPr="00FA11B1">
        <w:rPr>
          <w:rFonts w:ascii="Times New Roman" w:eastAsia="Times New Roman" w:hAnsi="Times New Roman" w:cs="Times New Roman"/>
          <w:b/>
          <w:bCs/>
          <w:sz w:val="24"/>
          <w:szCs w:val="24"/>
        </w:rPr>
        <w:t>Retention period:</w:t>
      </w:r>
      <w:r w:rsidRPr="00FA11B1">
        <w:rPr>
          <w:rFonts w:ascii="Times New Roman" w:eastAsia="Times New Roman" w:hAnsi="Times New Roman" w:cs="Times New Roman"/>
          <w:sz w:val="24"/>
          <w:szCs w:val="24"/>
        </w:rPr>
        <w:t xml:space="preserve"> 2 years</w:t>
      </w:r>
      <w:r w:rsidRPr="00FA11B1">
        <w:rPr>
          <w:rFonts w:ascii="Times New Roman" w:eastAsia="Times New Roman" w:hAnsi="Times New Roman" w:cs="Times New Roman"/>
          <w:sz w:val="24"/>
          <w:szCs w:val="24"/>
        </w:rPr>
        <w:br/>
      </w:r>
      <w:r w:rsidRPr="00FA11B1">
        <w:rPr>
          <w:rFonts w:ascii="Times New Roman" w:eastAsia="Times New Roman" w:hAnsi="Times New Roman" w:cs="Times New Roman"/>
          <w:b/>
          <w:bCs/>
          <w:sz w:val="24"/>
          <w:szCs w:val="24"/>
        </w:rPr>
        <w:t>Archiving point:</w:t>
      </w:r>
      <w:r w:rsidRPr="00FA11B1">
        <w:rPr>
          <w:rFonts w:ascii="Times New Roman" w:eastAsia="Times New Roman" w:hAnsi="Times New Roman" w:cs="Times New Roman"/>
          <w:sz w:val="24"/>
          <w:szCs w:val="24"/>
        </w:rPr>
        <w:t xml:space="preserve"> After 1 year</w:t>
      </w:r>
      <w:r w:rsidRPr="00FA11B1">
        <w:rPr>
          <w:rFonts w:ascii="Times New Roman" w:eastAsia="Times New Roman" w:hAnsi="Times New Roman" w:cs="Times New Roman"/>
          <w:sz w:val="24"/>
          <w:szCs w:val="24"/>
        </w:rPr>
        <w:br/>
      </w:r>
      <w:r w:rsidRPr="00FA11B1">
        <w:rPr>
          <w:rFonts w:ascii="Times New Roman" w:eastAsia="Times New Roman" w:hAnsi="Times New Roman" w:cs="Times New Roman"/>
          <w:b/>
          <w:bCs/>
          <w:sz w:val="24"/>
          <w:szCs w:val="24"/>
        </w:rPr>
        <w:t>Protection requirements:</w:t>
      </w:r>
      <w:r w:rsidRPr="00FA11B1">
        <w:rPr>
          <w:rFonts w:ascii="Times New Roman" w:eastAsia="Times New Roman" w:hAnsi="Times New Roman" w:cs="Times New Roman"/>
          <w:sz w:val="24"/>
          <w:szCs w:val="24"/>
        </w:rPr>
        <w:t xml:space="preserve"> Restricted access, appropriate use and respect for recorded consent preferences.</w:t>
      </w:r>
    </w:p>
    <w:sectPr w:rsidR="00FA11B1" w:rsidRPr="00FA11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0654E2"/>
    <w:multiLevelType w:val="multilevel"/>
    <w:tmpl w:val="378A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5A9C"/>
    <w:rsid w:val="003A5A9C"/>
    <w:rsid w:val="00606852"/>
    <w:rsid w:val="00FA1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C99C6"/>
  <w15:chartTrackingRefBased/>
  <w15:docId w15:val="{7DBA6132-6BD7-41B1-93FD-2DDC0ADCF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A11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A11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A11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1B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A11B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A11B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A11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A11B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A11B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11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11B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A11B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407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547</Words>
  <Characters>3122</Characters>
  <Application>Microsoft Office Word</Application>
  <DocSecurity>0</DocSecurity>
  <Lines>26</Lines>
  <Paragraphs>7</Paragraphs>
  <ScaleCrop>false</ScaleCrop>
  <Company/>
  <LinksUpToDate>false</LinksUpToDate>
  <CharactersWithSpaces>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Kasimagwa Steven</dc:creator>
  <cp:keywords/>
  <dc:description/>
  <cp:lastModifiedBy>Kasimagwa Steven</cp:lastModifiedBy>
  <cp:revision>2</cp:revision>
  <dcterms:created xsi:type="dcterms:W3CDTF">2026-10-09T17:34:00Z</dcterms:created>
  <dcterms:modified xsi:type="dcterms:W3CDTF">2026-10-09T17:39:00Z</dcterms:modified>
</cp:coreProperties>
</file>