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232" w:rsidRPr="00E01232" w:rsidRDefault="00E01232" w:rsidP="00E0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0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2: Governance Framework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1232">
        <w:rPr>
          <w:rFonts w:ascii="Times New Roman" w:eastAsia="Times New Roman" w:hAnsi="Times New Roman" w:cs="Times New Roman"/>
          <w:sz w:val="24"/>
          <w:szCs w:val="24"/>
        </w:rPr>
        <w:t>MediLink</w:t>
      </w:r>
      <w:proofErr w:type="spellEnd"/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Health Network Enterprise Data Platform</w:t>
      </w:r>
      <w:r w:rsidRPr="00E01232">
        <w:rPr>
          <w:rFonts w:ascii="Times New Roman" w:eastAsia="Times New Roman" w:hAnsi="Times New Roman" w:cs="Times New Roman"/>
          <w:sz w:val="24"/>
          <w:szCs w:val="24"/>
        </w:rPr>
        <w:br/>
      </w:r>
      <w:r w:rsidRPr="00E01232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weight:</w:t>
      </w: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Governance Framework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232">
        <w:rPr>
          <w:rFonts w:ascii="Times New Roman" w:eastAsia="Times New Roman" w:hAnsi="Times New Roman" w:cs="Times New Roman"/>
          <w:b/>
          <w:bCs/>
          <w:sz w:val="36"/>
          <w:szCs w:val="36"/>
        </w:rPr>
        <w:t>1 Governance charter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232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The purpose of the </w:t>
      </w:r>
      <w:proofErr w:type="spellStart"/>
      <w:r w:rsidRPr="00E01232">
        <w:rPr>
          <w:rFonts w:ascii="Times New Roman" w:eastAsia="Times New Roman" w:hAnsi="Times New Roman" w:cs="Times New Roman"/>
          <w:sz w:val="24"/>
          <w:szCs w:val="24"/>
        </w:rPr>
        <w:t>MediLink</w:t>
      </w:r>
      <w:proofErr w:type="spellEnd"/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Data Governance Framework is to establish accountability, consistent data management practices, data quality standards and appropriate controls for protecting information throughout its lifecycle.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 framework supports the integration of patient, clinical, billing and operational data into a centralized enterprise data platform.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23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Establish clear ownership and responsibility for organizational data.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Improve patient identity consistency and reduce duplicate records.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Protect confidential and personally identifiable information.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Define policies for access control, patient identity management and data retention.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Establish a process for identifying and correcting compliance gaps.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Ensure data is documented before being accepted as trusted.</w:t>
      </w:r>
    </w:p>
    <w:p w:rsidR="00E01232" w:rsidRPr="00E01232" w:rsidRDefault="00E01232" w:rsidP="00E0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Support reliable reporting and informed decision-making.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232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 framework covers patient master data, clinical records, billing data, source systems, data integration, the enterprise data warehouse and associated metadata.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For the simulated </w:t>
      </w:r>
      <w:proofErr w:type="spellStart"/>
      <w:r w:rsidRPr="00E01232">
        <w:rPr>
          <w:rFonts w:ascii="Times New Roman" w:eastAsia="Times New Roman" w:hAnsi="Times New Roman" w:cs="Times New Roman"/>
          <w:sz w:val="24"/>
          <w:szCs w:val="24"/>
        </w:rPr>
        <w:t>Mulago</w:t>
      </w:r>
      <w:proofErr w:type="spellEnd"/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case study, these controls are proposed design recommendations. They are not a statement of the hospital's existing governance arrangements.</w:t>
      </w:r>
    </w:p>
    <w:p w:rsidR="00E01232" w:rsidRDefault="00E01232" w:rsidP="00E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232">
        <w:rPr>
          <w:rFonts w:ascii="Times New Roman" w:eastAsia="Times New Roman" w:hAnsi="Times New Roman" w:cs="Times New Roman"/>
          <w:b/>
          <w:bCs/>
          <w:sz w:val="36"/>
          <w:szCs w:val="36"/>
        </w:rPr>
        <w:t>2 Governance roles</w:t>
      </w:r>
    </w:p>
    <w:tbl>
      <w:tblPr>
        <w:tblW w:w="9040" w:type="dxa"/>
        <w:tblInd w:w="-5" w:type="dxa"/>
        <w:tblLook w:val="04A0" w:firstRow="1" w:lastRow="0" w:firstColumn="1" w:lastColumn="0" w:noHBand="0" w:noVBand="1"/>
      </w:tblPr>
      <w:tblGrid>
        <w:gridCol w:w="2127"/>
        <w:gridCol w:w="6913"/>
      </w:tblGrid>
      <w:tr w:rsidR="00E01232" w:rsidRPr="00E01232" w:rsidTr="00E01232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6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Main responsibility</w:t>
            </w:r>
          </w:p>
        </w:tc>
      </w:tr>
      <w:tr w:rsidR="00E01232" w:rsidRPr="00E01232" w:rsidTr="00E01232">
        <w:trPr>
          <w:trHeight w:val="6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Chief Data Officer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Oversees data governance and approves data governance decisions.</w:t>
            </w:r>
          </w:p>
        </w:tc>
      </w:tr>
      <w:tr w:rsidR="00E01232" w:rsidRPr="00E01232" w:rsidTr="00E01232">
        <w:trPr>
          <w:trHeight w:val="31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Data Owner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Accountable for the appropriate use and quality of data within their area.</w:t>
            </w:r>
          </w:p>
        </w:tc>
      </w:tr>
      <w:tr w:rsidR="00E01232" w:rsidRPr="00E01232" w:rsidTr="00E01232">
        <w:trPr>
          <w:trHeight w:val="6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Steward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Maintains definitions, monitors data quality and coordinates the resolution of data issues.</w:t>
            </w:r>
          </w:p>
        </w:tc>
      </w:tr>
      <w:tr w:rsidR="00E01232" w:rsidRPr="00E01232" w:rsidTr="00E01232">
        <w:trPr>
          <w:trHeight w:val="6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 Custodian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Maintains technical infrastructure, implements access controls and supports data protection.</w:t>
            </w:r>
          </w:p>
        </w:tc>
      </w:tr>
      <w:tr w:rsidR="00E01232" w:rsidRPr="00E01232" w:rsidTr="00E01232">
        <w:trPr>
          <w:trHeight w:val="6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Clinician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1232" w:rsidRPr="00E01232" w:rsidRDefault="00E01232" w:rsidP="00E012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012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authorized clinical information to support patient care and reports data errors.</w:t>
            </w:r>
          </w:p>
        </w:tc>
      </w:tr>
    </w:tbl>
    <w:p w:rsid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These roles should be formally assigned before the framework is implemented in a real organization.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232">
        <w:rPr>
          <w:rFonts w:ascii="Times New Roman" w:eastAsia="Times New Roman" w:hAnsi="Times New Roman" w:cs="Times New Roman"/>
          <w:b/>
          <w:bCs/>
          <w:sz w:val="36"/>
          <w:szCs w:val="36"/>
        </w:rPr>
        <w:t>3 Governance policies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 framework establishes three principal policies:</w:t>
      </w:r>
    </w:p>
    <w:p w:rsidR="00E01232" w:rsidRPr="00E01232" w:rsidRDefault="00E01232" w:rsidP="00E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Identity Policy:</w:t>
      </w: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Maintain one golden record for each patient and refer conflicting identity information to a data steward.</w:t>
      </w:r>
    </w:p>
    <w:p w:rsidR="00E01232" w:rsidRPr="00E01232" w:rsidRDefault="00E01232" w:rsidP="00E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Policy:</w:t>
      </w: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Restrict data access according to user responsibilities, mask information where necessary and maintain audit trails.</w:t>
      </w:r>
    </w:p>
    <w:p w:rsidR="00E01232" w:rsidRPr="00E01232" w:rsidRDefault="00E01232" w:rsidP="00E0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Policy:</w:t>
      </w:r>
      <w:r w:rsidRPr="00E01232">
        <w:rPr>
          <w:rFonts w:ascii="Times New Roman" w:eastAsia="Times New Roman" w:hAnsi="Times New Roman" w:cs="Times New Roman"/>
          <w:sz w:val="24"/>
          <w:szCs w:val="24"/>
        </w:rPr>
        <w:t xml:space="preserve"> Retain, archive and dispose of data according to documented lifecycle requirements.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Each policy should be supported by database controls and operational procedures rather than relying on written rules alone.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232">
        <w:rPr>
          <w:rFonts w:ascii="Times New Roman" w:eastAsia="Times New Roman" w:hAnsi="Times New Roman" w:cs="Times New Roman"/>
          <w:b/>
          <w:bCs/>
          <w:sz w:val="36"/>
          <w:szCs w:val="36"/>
        </w:rPr>
        <w:t>4 Compliance gap management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 compliance register identifies two issues requiring corrective action in the project scenario:</w:t>
      </w:r>
    </w:p>
    <w:p w:rsidR="00E01232" w:rsidRPr="00E01232" w:rsidRDefault="00E01232" w:rsidP="00E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National Identification data must not remain in plaintext in the trusted master-data pipeline.</w:t>
      </w:r>
    </w:p>
    <w:p w:rsidR="00E01232" w:rsidRPr="00E01232" w:rsidRDefault="00E01232" w:rsidP="00E0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A documented process is needed for handling data breaches.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 proposed remediation is to protect National ID information during ingestion and implement a breach response procedure. Phase 8 will develop and test the relevant technical and procedural controls.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232">
        <w:rPr>
          <w:rFonts w:ascii="Times New Roman" w:eastAsia="Times New Roman" w:hAnsi="Times New Roman" w:cs="Times New Roman"/>
          <w:b/>
          <w:bCs/>
          <w:sz w:val="36"/>
          <w:szCs w:val="36"/>
        </w:rPr>
        <w:t>5 Governance review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lastRenderedPageBreak/>
        <w:t>The framework should be reviewed periodically and whenever a significant change occurs, such as onboarding a new data source, changing access permissions or introducing a new category of personal data.</w:t>
      </w:r>
    </w:p>
    <w:p w:rsidR="00E01232" w:rsidRPr="00E01232" w:rsidRDefault="00E01232" w:rsidP="00E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232">
        <w:rPr>
          <w:rFonts w:ascii="Times New Roman" w:eastAsia="Times New Roman" w:hAnsi="Times New Roman" w:cs="Times New Roman"/>
          <w:sz w:val="24"/>
          <w:szCs w:val="24"/>
        </w:rPr>
        <w:t>The review should consider data quality results, access-control tests, audit logs, unresolved compliance gaps and changes to applicable requirements.</w:t>
      </w:r>
    </w:p>
    <w:sectPr w:rsidR="00E01232" w:rsidRPr="00E012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D5BC1"/>
    <w:multiLevelType w:val="multilevel"/>
    <w:tmpl w:val="760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70122"/>
    <w:multiLevelType w:val="multilevel"/>
    <w:tmpl w:val="40B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03AC9"/>
    <w:multiLevelType w:val="multilevel"/>
    <w:tmpl w:val="C4A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075D9"/>
    <w:multiLevelType w:val="multilevel"/>
    <w:tmpl w:val="CA44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64E85"/>
    <w:multiLevelType w:val="multilevel"/>
    <w:tmpl w:val="36B6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15F06"/>
    <w:multiLevelType w:val="multilevel"/>
    <w:tmpl w:val="4AE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27C"/>
    <w:rsid w:val="00134EF1"/>
    <w:rsid w:val="0020027C"/>
    <w:rsid w:val="00E0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186B"/>
  <w15:chartTrackingRefBased/>
  <w15:docId w15:val="{D947516C-4C96-46B1-8674-ADAAAC9A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1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12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2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2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2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1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Kasimagwa Steven</dc:creator>
  <cp:keywords/>
  <dc:description/>
  <cp:lastModifiedBy>Kasimagwa Steven</cp:lastModifiedBy>
  <cp:revision>2</cp:revision>
  <dcterms:created xsi:type="dcterms:W3CDTF">2026-10-09T17:53:00Z</dcterms:created>
  <dcterms:modified xsi:type="dcterms:W3CDTF">2026-10-09T17:57:00Z</dcterms:modified>
</cp:coreProperties>
</file>