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37A9" w:rsidRPr="006337A9" w:rsidRDefault="006337A9" w:rsidP="006337A9">
      <w:pPr>
        <w:spacing w:before="100" w:beforeAutospacing="1" w:after="100" w:afterAutospacing="1" w:line="240" w:lineRule="auto"/>
        <w:outlineLvl w:val="1"/>
        <w:rPr>
          <w:rFonts w:ascii="Times New Roman" w:eastAsia="Times New Roman" w:hAnsi="Times New Roman" w:cs="Times New Roman"/>
          <w:b/>
          <w:bCs/>
          <w:sz w:val="36"/>
          <w:szCs w:val="36"/>
        </w:rPr>
      </w:pPr>
      <w:r w:rsidRPr="006337A9">
        <w:rPr>
          <w:rFonts w:ascii="Times New Roman" w:eastAsia="Times New Roman" w:hAnsi="Times New Roman" w:cs="Times New Roman"/>
          <w:b/>
          <w:bCs/>
          <w:sz w:val="36"/>
          <w:szCs w:val="36"/>
        </w:rPr>
        <w:t xml:space="preserve">4.9 Data Quality Monitoring Plan - </w:t>
      </w:r>
      <w:proofErr w:type="spellStart"/>
      <w:r w:rsidRPr="006337A9">
        <w:rPr>
          <w:rFonts w:ascii="Times New Roman" w:eastAsia="Times New Roman" w:hAnsi="Times New Roman" w:cs="Times New Roman"/>
          <w:b/>
          <w:bCs/>
          <w:sz w:val="36"/>
          <w:szCs w:val="36"/>
        </w:rPr>
        <w:t>MediLink</w:t>
      </w:r>
      <w:proofErr w:type="spellEnd"/>
      <w:r w:rsidRPr="006337A9">
        <w:rPr>
          <w:rFonts w:ascii="Times New Roman" w:eastAsia="Times New Roman" w:hAnsi="Times New Roman" w:cs="Times New Roman"/>
          <w:b/>
          <w:bCs/>
          <w:sz w:val="36"/>
          <w:szCs w:val="36"/>
        </w:rPr>
        <w:t xml:space="preserve"> Health Network</w:t>
      </w:r>
    </w:p>
    <w:p w:rsidR="006337A9" w:rsidRPr="006337A9" w:rsidRDefault="006337A9" w:rsidP="006337A9">
      <w:pPr>
        <w:spacing w:before="100" w:beforeAutospacing="1" w:after="100" w:afterAutospacing="1" w:line="240" w:lineRule="auto"/>
        <w:rPr>
          <w:rFonts w:ascii="Times New Roman" w:eastAsia="Times New Roman" w:hAnsi="Times New Roman" w:cs="Times New Roman"/>
          <w:sz w:val="24"/>
          <w:szCs w:val="24"/>
        </w:rPr>
      </w:pPr>
      <w:r w:rsidRPr="006337A9">
        <w:rPr>
          <w:rFonts w:ascii="Times New Roman" w:eastAsia="Times New Roman" w:hAnsi="Times New Roman" w:cs="Times New Roman"/>
          <w:sz w:val="24"/>
          <w:szCs w:val="24"/>
        </w:rPr>
        <w:t xml:space="preserve">The purpose of the data quality monitoring plan is to ensure that data within the </w:t>
      </w:r>
      <w:proofErr w:type="spellStart"/>
      <w:r w:rsidRPr="006337A9">
        <w:rPr>
          <w:rFonts w:ascii="Times New Roman" w:eastAsia="Times New Roman" w:hAnsi="Times New Roman" w:cs="Times New Roman"/>
          <w:sz w:val="24"/>
          <w:szCs w:val="24"/>
        </w:rPr>
        <w:t>MediLink</w:t>
      </w:r>
      <w:proofErr w:type="spellEnd"/>
      <w:r w:rsidRPr="006337A9">
        <w:rPr>
          <w:rFonts w:ascii="Times New Roman" w:eastAsia="Times New Roman" w:hAnsi="Times New Roman" w:cs="Times New Roman"/>
          <w:sz w:val="24"/>
          <w:szCs w:val="24"/>
        </w:rPr>
        <w:t xml:space="preserve"> Enterprise Data Platform remains accurate, complete, consistent, valid, unique, and timely after the initial cleansing process. The plan establishes routine monitoring activities, performance indicators, reporting frequencies, responsible personnel, and corrective actions.</w:t>
      </w:r>
    </w:p>
    <w:p w:rsidR="006337A9" w:rsidRPr="006337A9" w:rsidRDefault="006337A9" w:rsidP="006337A9">
      <w:pPr>
        <w:spacing w:before="100" w:beforeAutospacing="1" w:after="100" w:afterAutospacing="1" w:line="240" w:lineRule="auto"/>
        <w:outlineLvl w:val="2"/>
        <w:rPr>
          <w:rFonts w:ascii="Times New Roman" w:eastAsia="Times New Roman" w:hAnsi="Times New Roman" w:cs="Times New Roman"/>
          <w:b/>
          <w:bCs/>
          <w:sz w:val="27"/>
          <w:szCs w:val="27"/>
        </w:rPr>
      </w:pPr>
      <w:r w:rsidRPr="006337A9">
        <w:rPr>
          <w:rFonts w:ascii="Times New Roman" w:eastAsia="Times New Roman" w:hAnsi="Times New Roman" w:cs="Times New Roman"/>
          <w:b/>
          <w:bCs/>
          <w:sz w:val="27"/>
          <w:szCs w:val="27"/>
        </w:rPr>
        <w:t>1. Monitoring activities and schedule</w:t>
      </w:r>
    </w:p>
    <w:tbl>
      <w:tblPr>
        <w:tblW w:w="10168" w:type="dxa"/>
        <w:tblInd w:w="-5" w:type="dxa"/>
        <w:tblLook w:val="04A0" w:firstRow="1" w:lastRow="0" w:firstColumn="1" w:lastColumn="0" w:noHBand="0" w:noVBand="1"/>
      </w:tblPr>
      <w:tblGrid>
        <w:gridCol w:w="2126"/>
        <w:gridCol w:w="1641"/>
        <w:gridCol w:w="2385"/>
        <w:gridCol w:w="4016"/>
      </w:tblGrid>
      <w:tr w:rsidR="006337A9" w:rsidRPr="006337A9" w:rsidTr="006337A9">
        <w:trPr>
          <w:trHeight w:val="260"/>
        </w:trPr>
        <w:tc>
          <w:tcPr>
            <w:tcW w:w="212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jc w:val="center"/>
              <w:rPr>
                <w:rFonts w:ascii="Times New Roman" w:eastAsia="Times New Roman" w:hAnsi="Times New Roman" w:cs="Times New Roman"/>
                <w:b/>
                <w:bCs/>
                <w:color w:val="000000"/>
                <w:sz w:val="24"/>
                <w:szCs w:val="24"/>
              </w:rPr>
            </w:pPr>
            <w:r w:rsidRPr="006337A9">
              <w:rPr>
                <w:rFonts w:ascii="Times New Roman" w:eastAsia="Times New Roman" w:hAnsi="Times New Roman" w:cs="Times New Roman"/>
                <w:b/>
                <w:bCs/>
                <w:color w:val="000000"/>
                <w:sz w:val="24"/>
                <w:szCs w:val="24"/>
              </w:rPr>
              <w:t>Monitoring activity</w:t>
            </w:r>
          </w:p>
        </w:tc>
        <w:tc>
          <w:tcPr>
            <w:tcW w:w="1641" w:type="dxa"/>
            <w:tcBorders>
              <w:top w:val="single" w:sz="4" w:space="0" w:color="auto"/>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jc w:val="center"/>
              <w:rPr>
                <w:rFonts w:ascii="Times New Roman" w:eastAsia="Times New Roman" w:hAnsi="Times New Roman" w:cs="Times New Roman"/>
                <w:b/>
                <w:bCs/>
                <w:color w:val="000000"/>
                <w:sz w:val="24"/>
                <w:szCs w:val="24"/>
              </w:rPr>
            </w:pPr>
            <w:r w:rsidRPr="006337A9">
              <w:rPr>
                <w:rFonts w:ascii="Times New Roman" w:eastAsia="Times New Roman" w:hAnsi="Times New Roman" w:cs="Times New Roman"/>
                <w:b/>
                <w:bCs/>
                <w:color w:val="000000"/>
                <w:sz w:val="24"/>
                <w:szCs w:val="24"/>
              </w:rPr>
              <w:t>Frequency</w:t>
            </w:r>
          </w:p>
        </w:tc>
        <w:tc>
          <w:tcPr>
            <w:tcW w:w="2385" w:type="dxa"/>
            <w:tcBorders>
              <w:top w:val="single" w:sz="4" w:space="0" w:color="auto"/>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jc w:val="center"/>
              <w:rPr>
                <w:rFonts w:ascii="Times New Roman" w:eastAsia="Times New Roman" w:hAnsi="Times New Roman" w:cs="Times New Roman"/>
                <w:b/>
                <w:bCs/>
                <w:color w:val="000000"/>
                <w:sz w:val="24"/>
                <w:szCs w:val="24"/>
              </w:rPr>
            </w:pPr>
            <w:r w:rsidRPr="006337A9">
              <w:rPr>
                <w:rFonts w:ascii="Times New Roman" w:eastAsia="Times New Roman" w:hAnsi="Times New Roman" w:cs="Times New Roman"/>
                <w:b/>
                <w:bCs/>
                <w:color w:val="000000"/>
                <w:sz w:val="24"/>
                <w:szCs w:val="24"/>
              </w:rPr>
              <w:t>Responsible person</w:t>
            </w:r>
          </w:p>
        </w:tc>
        <w:tc>
          <w:tcPr>
            <w:tcW w:w="4016" w:type="dxa"/>
            <w:tcBorders>
              <w:top w:val="single" w:sz="4" w:space="0" w:color="auto"/>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jc w:val="center"/>
              <w:rPr>
                <w:rFonts w:ascii="Times New Roman" w:eastAsia="Times New Roman" w:hAnsi="Times New Roman" w:cs="Times New Roman"/>
                <w:b/>
                <w:bCs/>
                <w:color w:val="000000"/>
                <w:sz w:val="24"/>
                <w:szCs w:val="24"/>
              </w:rPr>
            </w:pPr>
            <w:r w:rsidRPr="006337A9">
              <w:rPr>
                <w:rFonts w:ascii="Times New Roman" w:eastAsia="Times New Roman" w:hAnsi="Times New Roman" w:cs="Times New Roman"/>
                <w:b/>
                <w:bCs/>
                <w:color w:val="000000"/>
                <w:sz w:val="24"/>
                <w:szCs w:val="24"/>
              </w:rPr>
              <w:t>Corrective action</w:t>
            </w:r>
          </w:p>
        </w:tc>
      </w:tr>
      <w:tr w:rsidR="006337A9" w:rsidRPr="006337A9" w:rsidTr="006337A9">
        <w:trPr>
          <w:trHeight w:val="539"/>
        </w:trPr>
        <w:tc>
          <w:tcPr>
            <w:tcW w:w="2126" w:type="dxa"/>
            <w:tcBorders>
              <w:top w:val="nil"/>
              <w:left w:val="single" w:sz="4" w:space="0" w:color="auto"/>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Validate incoming patient data</w:t>
            </w:r>
          </w:p>
        </w:tc>
        <w:tc>
          <w:tcPr>
            <w:tcW w:w="1641" w:type="dxa"/>
            <w:tcBorders>
              <w:top w:val="nil"/>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At every ingestion</w:t>
            </w:r>
          </w:p>
        </w:tc>
        <w:tc>
          <w:tcPr>
            <w:tcW w:w="2385" w:type="dxa"/>
            <w:tcBorders>
              <w:top w:val="nil"/>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Data Custodian</w:t>
            </w:r>
          </w:p>
        </w:tc>
        <w:tc>
          <w:tcPr>
            <w:tcW w:w="4016" w:type="dxa"/>
            <w:tcBorders>
              <w:top w:val="nil"/>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Reject or quarantine records that fail validation.</w:t>
            </w:r>
          </w:p>
        </w:tc>
      </w:tr>
      <w:tr w:rsidR="006337A9" w:rsidRPr="006337A9" w:rsidTr="006337A9">
        <w:trPr>
          <w:trHeight w:val="539"/>
        </w:trPr>
        <w:tc>
          <w:tcPr>
            <w:tcW w:w="2126" w:type="dxa"/>
            <w:tcBorders>
              <w:top w:val="nil"/>
              <w:left w:val="single" w:sz="4" w:space="0" w:color="auto"/>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Check missing values and invalid formats</w:t>
            </w:r>
          </w:p>
        </w:tc>
        <w:tc>
          <w:tcPr>
            <w:tcW w:w="1641" w:type="dxa"/>
            <w:tcBorders>
              <w:top w:val="nil"/>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Daily</w:t>
            </w:r>
          </w:p>
        </w:tc>
        <w:tc>
          <w:tcPr>
            <w:tcW w:w="2385" w:type="dxa"/>
            <w:tcBorders>
              <w:top w:val="nil"/>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Database Administrator</w:t>
            </w:r>
          </w:p>
        </w:tc>
        <w:tc>
          <w:tcPr>
            <w:tcW w:w="4016" w:type="dxa"/>
            <w:tcBorders>
              <w:top w:val="nil"/>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Generate exception reports and correct verified errors.</w:t>
            </w:r>
          </w:p>
        </w:tc>
      </w:tr>
      <w:tr w:rsidR="006337A9" w:rsidRPr="006337A9" w:rsidTr="006337A9">
        <w:trPr>
          <w:trHeight w:val="808"/>
        </w:trPr>
        <w:tc>
          <w:tcPr>
            <w:tcW w:w="2126" w:type="dxa"/>
            <w:tcBorders>
              <w:top w:val="nil"/>
              <w:left w:val="single" w:sz="4" w:space="0" w:color="auto"/>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Monitor duplicate patient records</w:t>
            </w:r>
          </w:p>
        </w:tc>
        <w:tc>
          <w:tcPr>
            <w:tcW w:w="1641" w:type="dxa"/>
            <w:tcBorders>
              <w:top w:val="nil"/>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Daily</w:t>
            </w:r>
          </w:p>
        </w:tc>
        <w:tc>
          <w:tcPr>
            <w:tcW w:w="2385" w:type="dxa"/>
            <w:tcBorders>
              <w:top w:val="nil"/>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Data Steward</w:t>
            </w:r>
          </w:p>
        </w:tc>
        <w:tc>
          <w:tcPr>
            <w:tcW w:w="4016" w:type="dxa"/>
            <w:tcBorders>
              <w:top w:val="nil"/>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Investigate potential duplicates and approve appropriate record merges.</w:t>
            </w:r>
          </w:p>
        </w:tc>
      </w:tr>
      <w:tr w:rsidR="006337A9" w:rsidRPr="006337A9" w:rsidTr="006337A9">
        <w:trPr>
          <w:trHeight w:val="539"/>
        </w:trPr>
        <w:tc>
          <w:tcPr>
            <w:tcW w:w="2126" w:type="dxa"/>
            <w:tcBorders>
              <w:top w:val="nil"/>
              <w:left w:val="single" w:sz="4" w:space="0" w:color="auto"/>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 xml:space="preserve">Review </w:t>
            </w:r>
            <w:proofErr w:type="spellStart"/>
            <w:r w:rsidRPr="006337A9">
              <w:rPr>
                <w:rFonts w:ascii="Courier New" w:eastAsia="Times New Roman" w:hAnsi="Courier New" w:cs="Courier New"/>
                <w:color w:val="000000"/>
                <w:sz w:val="20"/>
                <w:szCs w:val="20"/>
              </w:rPr>
              <w:t>v_dq_scorecard</w:t>
            </w:r>
            <w:proofErr w:type="spellEnd"/>
          </w:p>
        </w:tc>
        <w:tc>
          <w:tcPr>
            <w:tcW w:w="1641" w:type="dxa"/>
            <w:tcBorders>
              <w:top w:val="nil"/>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Weekly</w:t>
            </w:r>
          </w:p>
        </w:tc>
        <w:tc>
          <w:tcPr>
            <w:tcW w:w="2385" w:type="dxa"/>
            <w:tcBorders>
              <w:top w:val="nil"/>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Data Governance Lead</w:t>
            </w:r>
          </w:p>
        </w:tc>
        <w:tc>
          <w:tcPr>
            <w:tcW w:w="4016" w:type="dxa"/>
            <w:tcBorders>
              <w:top w:val="nil"/>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Investigate indicators that fall below established targets.</w:t>
            </w:r>
          </w:p>
        </w:tc>
      </w:tr>
      <w:tr w:rsidR="006337A9" w:rsidRPr="006337A9" w:rsidTr="006337A9">
        <w:trPr>
          <w:trHeight w:val="539"/>
        </w:trPr>
        <w:tc>
          <w:tcPr>
            <w:tcW w:w="2126" w:type="dxa"/>
            <w:tcBorders>
              <w:top w:val="nil"/>
              <w:left w:val="single" w:sz="4" w:space="0" w:color="auto"/>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Review data quality by facility</w:t>
            </w:r>
          </w:p>
        </w:tc>
        <w:tc>
          <w:tcPr>
            <w:tcW w:w="1641" w:type="dxa"/>
            <w:tcBorders>
              <w:top w:val="nil"/>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Monthly</w:t>
            </w:r>
          </w:p>
        </w:tc>
        <w:tc>
          <w:tcPr>
            <w:tcW w:w="2385" w:type="dxa"/>
            <w:tcBorders>
              <w:top w:val="nil"/>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Facility Data Officers</w:t>
            </w:r>
          </w:p>
        </w:tc>
        <w:tc>
          <w:tcPr>
            <w:tcW w:w="4016" w:type="dxa"/>
            <w:tcBorders>
              <w:top w:val="nil"/>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Identify recurring errors and provide corrective training.</w:t>
            </w:r>
          </w:p>
        </w:tc>
      </w:tr>
      <w:tr w:rsidR="006337A9" w:rsidRPr="006337A9" w:rsidTr="006337A9">
        <w:trPr>
          <w:trHeight w:val="539"/>
        </w:trPr>
        <w:tc>
          <w:tcPr>
            <w:tcW w:w="2126" w:type="dxa"/>
            <w:tcBorders>
              <w:top w:val="nil"/>
              <w:left w:val="single" w:sz="4" w:space="0" w:color="auto"/>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Review validation rules and quality trends</w:t>
            </w:r>
          </w:p>
        </w:tc>
        <w:tc>
          <w:tcPr>
            <w:tcW w:w="1641" w:type="dxa"/>
            <w:tcBorders>
              <w:top w:val="nil"/>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Quarterly</w:t>
            </w:r>
          </w:p>
        </w:tc>
        <w:tc>
          <w:tcPr>
            <w:tcW w:w="2385" w:type="dxa"/>
            <w:tcBorders>
              <w:top w:val="nil"/>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Data Governance Committee</w:t>
            </w:r>
          </w:p>
        </w:tc>
        <w:tc>
          <w:tcPr>
            <w:tcW w:w="4016" w:type="dxa"/>
            <w:tcBorders>
              <w:top w:val="nil"/>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Update controls and revise procedures where necessary.</w:t>
            </w:r>
          </w:p>
        </w:tc>
      </w:tr>
    </w:tbl>
    <w:p w:rsidR="006337A9" w:rsidRDefault="006337A9" w:rsidP="006337A9">
      <w:pPr>
        <w:spacing w:before="100" w:beforeAutospacing="1" w:after="100" w:afterAutospacing="1" w:line="240" w:lineRule="auto"/>
        <w:outlineLvl w:val="2"/>
        <w:rPr>
          <w:rFonts w:ascii="Times New Roman" w:eastAsia="Times New Roman" w:hAnsi="Times New Roman" w:cs="Times New Roman"/>
          <w:b/>
          <w:bCs/>
          <w:sz w:val="27"/>
          <w:szCs w:val="27"/>
        </w:rPr>
      </w:pPr>
    </w:p>
    <w:p w:rsidR="006337A9" w:rsidRPr="006337A9" w:rsidRDefault="006337A9" w:rsidP="006337A9">
      <w:pPr>
        <w:spacing w:before="100" w:beforeAutospacing="1" w:after="100" w:afterAutospacing="1" w:line="240" w:lineRule="auto"/>
        <w:outlineLvl w:val="2"/>
        <w:rPr>
          <w:rFonts w:ascii="Times New Roman" w:eastAsia="Times New Roman" w:hAnsi="Times New Roman" w:cs="Times New Roman"/>
          <w:b/>
          <w:bCs/>
          <w:sz w:val="27"/>
          <w:szCs w:val="27"/>
        </w:rPr>
      </w:pPr>
      <w:r w:rsidRPr="006337A9">
        <w:rPr>
          <w:rFonts w:ascii="Times New Roman" w:eastAsia="Times New Roman" w:hAnsi="Times New Roman" w:cs="Times New Roman"/>
          <w:b/>
          <w:bCs/>
          <w:sz w:val="27"/>
          <w:szCs w:val="27"/>
        </w:rPr>
        <w:t>2. Key performance indicators (KPIs)</w:t>
      </w:r>
    </w:p>
    <w:p w:rsidR="006337A9" w:rsidRPr="006337A9" w:rsidRDefault="006337A9" w:rsidP="006337A9">
      <w:pPr>
        <w:spacing w:before="100" w:beforeAutospacing="1" w:after="100" w:afterAutospacing="1" w:line="240" w:lineRule="auto"/>
        <w:rPr>
          <w:rFonts w:ascii="Times New Roman" w:eastAsia="Times New Roman" w:hAnsi="Times New Roman" w:cs="Times New Roman"/>
          <w:sz w:val="24"/>
          <w:szCs w:val="24"/>
        </w:rPr>
      </w:pPr>
      <w:proofErr w:type="spellStart"/>
      <w:r w:rsidRPr="006337A9">
        <w:rPr>
          <w:rFonts w:ascii="Times New Roman" w:eastAsia="Times New Roman" w:hAnsi="Times New Roman" w:cs="Times New Roman"/>
          <w:sz w:val="24"/>
          <w:szCs w:val="24"/>
        </w:rPr>
        <w:t>MediLink</w:t>
      </w:r>
      <w:proofErr w:type="spellEnd"/>
      <w:r w:rsidRPr="006337A9">
        <w:rPr>
          <w:rFonts w:ascii="Times New Roman" w:eastAsia="Times New Roman" w:hAnsi="Times New Roman" w:cs="Times New Roman"/>
          <w:sz w:val="24"/>
          <w:szCs w:val="24"/>
        </w:rPr>
        <w:t xml:space="preserve"> will use the following indicators to evaluate data quality.</w:t>
      </w:r>
    </w:p>
    <w:tbl>
      <w:tblPr>
        <w:tblW w:w="7840" w:type="dxa"/>
        <w:tblInd w:w="-5" w:type="dxa"/>
        <w:tblLook w:val="04A0" w:firstRow="1" w:lastRow="0" w:firstColumn="1" w:lastColumn="0" w:noHBand="0" w:noVBand="1"/>
      </w:tblPr>
      <w:tblGrid>
        <w:gridCol w:w="2400"/>
        <w:gridCol w:w="4220"/>
        <w:gridCol w:w="1220"/>
      </w:tblGrid>
      <w:tr w:rsidR="006337A9" w:rsidRPr="006337A9" w:rsidTr="006337A9">
        <w:trPr>
          <w:trHeight w:val="300"/>
        </w:trPr>
        <w:tc>
          <w:tcPr>
            <w:tcW w:w="24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jc w:val="center"/>
              <w:rPr>
                <w:rFonts w:ascii="Times New Roman" w:eastAsia="Times New Roman" w:hAnsi="Times New Roman" w:cs="Times New Roman"/>
                <w:b/>
                <w:bCs/>
                <w:color w:val="000000"/>
                <w:sz w:val="24"/>
                <w:szCs w:val="24"/>
              </w:rPr>
            </w:pPr>
            <w:r w:rsidRPr="006337A9">
              <w:rPr>
                <w:rFonts w:ascii="Times New Roman" w:eastAsia="Times New Roman" w:hAnsi="Times New Roman" w:cs="Times New Roman"/>
                <w:b/>
                <w:bCs/>
                <w:color w:val="000000"/>
                <w:sz w:val="24"/>
                <w:szCs w:val="24"/>
              </w:rPr>
              <w:t>Indicator</w:t>
            </w:r>
          </w:p>
        </w:tc>
        <w:tc>
          <w:tcPr>
            <w:tcW w:w="4220" w:type="dxa"/>
            <w:tcBorders>
              <w:top w:val="single" w:sz="4" w:space="0" w:color="auto"/>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jc w:val="center"/>
              <w:rPr>
                <w:rFonts w:ascii="Times New Roman" w:eastAsia="Times New Roman" w:hAnsi="Times New Roman" w:cs="Times New Roman"/>
                <w:b/>
                <w:bCs/>
                <w:color w:val="000000"/>
                <w:sz w:val="24"/>
                <w:szCs w:val="24"/>
              </w:rPr>
            </w:pPr>
            <w:r w:rsidRPr="006337A9">
              <w:rPr>
                <w:rFonts w:ascii="Times New Roman" w:eastAsia="Times New Roman" w:hAnsi="Times New Roman" w:cs="Times New Roman"/>
                <w:b/>
                <w:bCs/>
                <w:color w:val="000000"/>
                <w:sz w:val="24"/>
                <w:szCs w:val="24"/>
              </w:rPr>
              <w:t>Measurement method</w:t>
            </w:r>
          </w:p>
        </w:tc>
        <w:tc>
          <w:tcPr>
            <w:tcW w:w="1220" w:type="dxa"/>
            <w:tcBorders>
              <w:top w:val="single" w:sz="4" w:space="0" w:color="auto"/>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jc w:val="center"/>
              <w:rPr>
                <w:rFonts w:ascii="Times New Roman" w:eastAsia="Times New Roman" w:hAnsi="Times New Roman" w:cs="Times New Roman"/>
                <w:b/>
                <w:bCs/>
                <w:color w:val="000000"/>
                <w:sz w:val="24"/>
                <w:szCs w:val="24"/>
              </w:rPr>
            </w:pPr>
            <w:r w:rsidRPr="006337A9">
              <w:rPr>
                <w:rFonts w:ascii="Times New Roman" w:eastAsia="Times New Roman" w:hAnsi="Times New Roman" w:cs="Times New Roman"/>
                <w:b/>
                <w:bCs/>
                <w:color w:val="000000"/>
                <w:sz w:val="24"/>
                <w:szCs w:val="24"/>
              </w:rPr>
              <w:t>Target</w:t>
            </w:r>
          </w:p>
        </w:tc>
      </w:tr>
      <w:tr w:rsidR="006337A9" w:rsidRPr="006337A9" w:rsidTr="006337A9">
        <w:trPr>
          <w:trHeight w:val="620"/>
        </w:trPr>
        <w:tc>
          <w:tcPr>
            <w:tcW w:w="2400" w:type="dxa"/>
            <w:tcBorders>
              <w:top w:val="nil"/>
              <w:left w:val="single" w:sz="4" w:space="0" w:color="auto"/>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Phone-number completeness</w:t>
            </w:r>
          </w:p>
        </w:tc>
        <w:tc>
          <w:tcPr>
            <w:tcW w:w="4220" w:type="dxa"/>
            <w:tcBorders>
              <w:top w:val="nil"/>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Records with valid, non-missing phone numbers ÷ eligible patient records × 100</w:t>
            </w:r>
          </w:p>
        </w:tc>
        <w:tc>
          <w:tcPr>
            <w:tcW w:w="1220" w:type="dxa"/>
            <w:tcBorders>
              <w:top w:val="nil"/>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 97%</w:t>
            </w:r>
          </w:p>
        </w:tc>
      </w:tr>
      <w:tr w:rsidR="006337A9" w:rsidRPr="006337A9" w:rsidTr="006337A9">
        <w:trPr>
          <w:trHeight w:val="930"/>
        </w:trPr>
        <w:tc>
          <w:tcPr>
            <w:tcW w:w="2400" w:type="dxa"/>
            <w:tcBorders>
              <w:top w:val="nil"/>
              <w:left w:val="single" w:sz="4" w:space="0" w:color="auto"/>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Phone-number validity</w:t>
            </w:r>
          </w:p>
        </w:tc>
        <w:tc>
          <w:tcPr>
            <w:tcW w:w="4220" w:type="dxa"/>
            <w:tcBorders>
              <w:top w:val="nil"/>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Records with correctly formatted phone numbers ÷ records with supplied phone numbers × 100</w:t>
            </w:r>
          </w:p>
        </w:tc>
        <w:tc>
          <w:tcPr>
            <w:tcW w:w="1220" w:type="dxa"/>
            <w:tcBorders>
              <w:top w:val="nil"/>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 97%</w:t>
            </w:r>
          </w:p>
        </w:tc>
      </w:tr>
      <w:tr w:rsidR="006337A9" w:rsidRPr="006337A9" w:rsidTr="006337A9">
        <w:trPr>
          <w:trHeight w:val="620"/>
        </w:trPr>
        <w:tc>
          <w:tcPr>
            <w:tcW w:w="2400" w:type="dxa"/>
            <w:tcBorders>
              <w:top w:val="nil"/>
              <w:left w:val="single" w:sz="4" w:space="0" w:color="auto"/>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Mandatory-field completeness</w:t>
            </w:r>
          </w:p>
        </w:tc>
        <w:tc>
          <w:tcPr>
            <w:tcW w:w="4220" w:type="dxa"/>
            <w:tcBorders>
              <w:top w:val="nil"/>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Records with all required fields populated ÷ total eligible records × 100</w:t>
            </w:r>
          </w:p>
        </w:tc>
        <w:tc>
          <w:tcPr>
            <w:tcW w:w="1220" w:type="dxa"/>
            <w:tcBorders>
              <w:top w:val="nil"/>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 98%</w:t>
            </w:r>
          </w:p>
        </w:tc>
      </w:tr>
      <w:tr w:rsidR="006337A9" w:rsidRPr="006337A9" w:rsidTr="006337A9">
        <w:trPr>
          <w:trHeight w:val="930"/>
        </w:trPr>
        <w:tc>
          <w:tcPr>
            <w:tcW w:w="2400" w:type="dxa"/>
            <w:tcBorders>
              <w:top w:val="nil"/>
              <w:left w:val="single" w:sz="4" w:space="0" w:color="auto"/>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lastRenderedPageBreak/>
              <w:t>Duplicate resolution</w:t>
            </w:r>
          </w:p>
        </w:tc>
        <w:tc>
          <w:tcPr>
            <w:tcW w:w="4220" w:type="dxa"/>
            <w:tcBorders>
              <w:top w:val="nil"/>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Identified duplicate cases resolved or formally referred ÷ total identified cases × 100</w:t>
            </w:r>
          </w:p>
        </w:tc>
        <w:tc>
          <w:tcPr>
            <w:tcW w:w="1220" w:type="dxa"/>
            <w:tcBorders>
              <w:top w:val="nil"/>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jc w:val="right"/>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100%</w:t>
            </w:r>
          </w:p>
        </w:tc>
      </w:tr>
      <w:tr w:rsidR="006337A9" w:rsidRPr="006337A9" w:rsidTr="006337A9">
        <w:trPr>
          <w:trHeight w:val="620"/>
        </w:trPr>
        <w:tc>
          <w:tcPr>
            <w:tcW w:w="2400" w:type="dxa"/>
            <w:tcBorders>
              <w:top w:val="nil"/>
              <w:left w:val="single" w:sz="4" w:space="0" w:color="auto"/>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Referential integrity</w:t>
            </w:r>
          </w:p>
        </w:tc>
        <w:tc>
          <w:tcPr>
            <w:tcW w:w="4220" w:type="dxa"/>
            <w:tcBorders>
              <w:top w:val="nil"/>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Accepted records with valid foreign-key references</w:t>
            </w:r>
          </w:p>
        </w:tc>
        <w:tc>
          <w:tcPr>
            <w:tcW w:w="1220" w:type="dxa"/>
            <w:tcBorders>
              <w:top w:val="nil"/>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jc w:val="right"/>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100%</w:t>
            </w:r>
          </w:p>
        </w:tc>
      </w:tr>
      <w:tr w:rsidR="006337A9" w:rsidRPr="006337A9" w:rsidTr="006337A9">
        <w:trPr>
          <w:trHeight w:val="620"/>
        </w:trPr>
        <w:tc>
          <w:tcPr>
            <w:tcW w:w="2400" w:type="dxa"/>
            <w:tcBorders>
              <w:top w:val="nil"/>
              <w:left w:val="single" w:sz="4" w:space="0" w:color="auto"/>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Invalid categorical values</w:t>
            </w:r>
          </w:p>
        </w:tc>
        <w:tc>
          <w:tcPr>
            <w:tcW w:w="4220" w:type="dxa"/>
            <w:tcBorders>
              <w:top w:val="nil"/>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Accepted records containing unapproved categorical values</w:t>
            </w:r>
          </w:p>
        </w:tc>
        <w:tc>
          <w:tcPr>
            <w:tcW w:w="1220" w:type="dxa"/>
            <w:tcBorders>
              <w:top w:val="nil"/>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jc w:val="right"/>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0</w:t>
            </w:r>
          </w:p>
        </w:tc>
      </w:tr>
      <w:tr w:rsidR="006337A9" w:rsidRPr="006337A9" w:rsidTr="006337A9">
        <w:trPr>
          <w:trHeight w:val="620"/>
        </w:trPr>
        <w:tc>
          <w:tcPr>
            <w:tcW w:w="2400" w:type="dxa"/>
            <w:tcBorders>
              <w:top w:val="nil"/>
              <w:left w:val="single" w:sz="4" w:space="0" w:color="auto"/>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Timely monthly reporting</w:t>
            </w:r>
          </w:p>
        </w:tc>
        <w:tc>
          <w:tcPr>
            <w:tcW w:w="4220" w:type="dxa"/>
            <w:tcBorders>
              <w:top w:val="nil"/>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Monthly reports submitted by the fifth day ÷ reports due × 100</w:t>
            </w:r>
          </w:p>
        </w:tc>
        <w:tc>
          <w:tcPr>
            <w:tcW w:w="1220" w:type="dxa"/>
            <w:tcBorders>
              <w:top w:val="nil"/>
              <w:left w:val="nil"/>
              <w:bottom w:val="single" w:sz="4" w:space="0" w:color="auto"/>
              <w:right w:val="single" w:sz="4" w:space="0" w:color="auto"/>
            </w:tcBorders>
            <w:shd w:val="clear" w:color="auto" w:fill="auto"/>
            <w:vAlign w:val="center"/>
            <w:hideMark/>
          </w:tcPr>
          <w:p w:rsidR="006337A9" w:rsidRPr="006337A9" w:rsidRDefault="006337A9" w:rsidP="006337A9">
            <w:pPr>
              <w:spacing w:after="0" w:line="240" w:lineRule="auto"/>
              <w:jc w:val="right"/>
              <w:rPr>
                <w:rFonts w:ascii="Times New Roman" w:eastAsia="Times New Roman" w:hAnsi="Times New Roman" w:cs="Times New Roman"/>
                <w:color w:val="000000"/>
                <w:sz w:val="24"/>
                <w:szCs w:val="24"/>
              </w:rPr>
            </w:pPr>
            <w:r w:rsidRPr="006337A9">
              <w:rPr>
                <w:rFonts w:ascii="Times New Roman" w:eastAsia="Times New Roman" w:hAnsi="Times New Roman" w:cs="Times New Roman"/>
                <w:color w:val="000000"/>
                <w:sz w:val="24"/>
                <w:szCs w:val="24"/>
              </w:rPr>
              <w:t>100%</w:t>
            </w:r>
          </w:p>
        </w:tc>
      </w:tr>
    </w:tbl>
    <w:p w:rsidR="006337A9" w:rsidRDefault="006337A9" w:rsidP="006337A9">
      <w:pPr>
        <w:spacing w:before="100" w:beforeAutospacing="1" w:after="100" w:afterAutospacing="1" w:line="240" w:lineRule="auto"/>
        <w:rPr>
          <w:rFonts w:ascii="Times New Roman" w:eastAsia="Times New Roman" w:hAnsi="Times New Roman" w:cs="Times New Roman"/>
          <w:sz w:val="24"/>
          <w:szCs w:val="24"/>
        </w:rPr>
      </w:pPr>
    </w:p>
    <w:p w:rsidR="006337A9" w:rsidRPr="006337A9" w:rsidRDefault="006337A9" w:rsidP="006337A9">
      <w:pPr>
        <w:spacing w:before="100" w:beforeAutospacing="1" w:after="100" w:afterAutospacing="1" w:line="240" w:lineRule="auto"/>
        <w:rPr>
          <w:rFonts w:ascii="Times New Roman" w:eastAsia="Times New Roman" w:hAnsi="Times New Roman" w:cs="Times New Roman"/>
          <w:sz w:val="24"/>
          <w:szCs w:val="24"/>
        </w:rPr>
      </w:pPr>
      <w:r w:rsidRPr="006337A9">
        <w:rPr>
          <w:rFonts w:ascii="Times New Roman" w:eastAsia="Times New Roman" w:hAnsi="Times New Roman" w:cs="Times New Roman"/>
          <w:sz w:val="24"/>
          <w:szCs w:val="24"/>
        </w:rPr>
        <w:t xml:space="preserve">These targets are proposed operational thresholds except for the 97% phone-number completeness requirement and the fifth-day reporting deadline, which are specified project requirements. </w:t>
      </w:r>
      <w:proofErr w:type="spellStart"/>
      <w:r w:rsidRPr="006337A9">
        <w:rPr>
          <w:rFonts w:ascii="Times New Roman" w:eastAsia="Times New Roman" w:hAnsi="Times New Roman" w:cs="Times New Roman"/>
          <w:sz w:val="24"/>
          <w:szCs w:val="24"/>
        </w:rPr>
        <w:t>MediLink</w:t>
      </w:r>
      <w:proofErr w:type="spellEnd"/>
      <w:r w:rsidRPr="006337A9">
        <w:rPr>
          <w:rFonts w:ascii="Times New Roman" w:eastAsia="Times New Roman" w:hAnsi="Times New Roman" w:cs="Times New Roman"/>
          <w:sz w:val="24"/>
          <w:szCs w:val="24"/>
        </w:rPr>
        <w:t xml:space="preserve"> should approve the additional thresholds through its data governance process.</w:t>
      </w:r>
    </w:p>
    <w:p w:rsidR="006337A9" w:rsidRPr="006337A9" w:rsidRDefault="006337A9" w:rsidP="006337A9">
      <w:pPr>
        <w:spacing w:before="100" w:beforeAutospacing="1" w:after="100" w:afterAutospacing="1" w:line="240" w:lineRule="auto"/>
        <w:outlineLvl w:val="2"/>
        <w:rPr>
          <w:rFonts w:ascii="Times New Roman" w:eastAsia="Times New Roman" w:hAnsi="Times New Roman" w:cs="Times New Roman"/>
          <w:b/>
          <w:bCs/>
          <w:sz w:val="27"/>
          <w:szCs w:val="27"/>
        </w:rPr>
      </w:pPr>
      <w:r w:rsidRPr="006337A9">
        <w:rPr>
          <w:rFonts w:ascii="Times New Roman" w:eastAsia="Times New Roman" w:hAnsi="Times New Roman" w:cs="Times New Roman"/>
          <w:b/>
          <w:bCs/>
          <w:sz w:val="27"/>
          <w:szCs w:val="27"/>
        </w:rPr>
        <w:t>3. Monitoring and escalation procedure</w:t>
      </w:r>
    </w:p>
    <w:p w:rsidR="006337A9" w:rsidRPr="006337A9" w:rsidRDefault="006337A9" w:rsidP="006337A9">
      <w:pPr>
        <w:spacing w:before="100" w:beforeAutospacing="1" w:after="100" w:afterAutospacing="1" w:line="240" w:lineRule="auto"/>
        <w:rPr>
          <w:rFonts w:ascii="Times New Roman" w:eastAsia="Times New Roman" w:hAnsi="Times New Roman" w:cs="Times New Roman"/>
          <w:sz w:val="24"/>
          <w:szCs w:val="24"/>
        </w:rPr>
      </w:pPr>
      <w:r w:rsidRPr="006337A9">
        <w:rPr>
          <w:rFonts w:ascii="Times New Roman" w:eastAsia="Times New Roman" w:hAnsi="Times New Roman" w:cs="Times New Roman"/>
          <w:sz w:val="24"/>
          <w:szCs w:val="24"/>
        </w:rPr>
        <w:t>The monitoring process will follow these steps:</w:t>
      </w:r>
    </w:p>
    <w:p w:rsidR="006337A9" w:rsidRPr="006337A9" w:rsidRDefault="006337A9" w:rsidP="006337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37A9">
        <w:rPr>
          <w:rFonts w:ascii="Times New Roman" w:eastAsia="Times New Roman" w:hAnsi="Times New Roman" w:cs="Times New Roman"/>
          <w:sz w:val="24"/>
          <w:szCs w:val="24"/>
        </w:rPr>
        <w:t>Collect: Run validation rules against incoming data and the central database.</w:t>
      </w:r>
    </w:p>
    <w:p w:rsidR="006337A9" w:rsidRPr="006337A9" w:rsidRDefault="006337A9" w:rsidP="006337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37A9">
        <w:rPr>
          <w:rFonts w:ascii="Times New Roman" w:eastAsia="Times New Roman" w:hAnsi="Times New Roman" w:cs="Times New Roman"/>
          <w:sz w:val="24"/>
          <w:szCs w:val="24"/>
        </w:rPr>
        <w:t xml:space="preserve">Measure: Calculate quality indicators and update the </w:t>
      </w:r>
      <w:proofErr w:type="spellStart"/>
      <w:r w:rsidRPr="006337A9">
        <w:rPr>
          <w:rFonts w:ascii="Courier New" w:eastAsia="Times New Roman" w:hAnsi="Courier New" w:cs="Courier New"/>
          <w:sz w:val="20"/>
          <w:szCs w:val="20"/>
        </w:rPr>
        <w:t>v_dq_scorecard</w:t>
      </w:r>
      <w:proofErr w:type="spellEnd"/>
      <w:r w:rsidRPr="006337A9">
        <w:rPr>
          <w:rFonts w:ascii="Times New Roman" w:eastAsia="Times New Roman" w:hAnsi="Times New Roman" w:cs="Times New Roman"/>
          <w:sz w:val="24"/>
          <w:szCs w:val="24"/>
        </w:rPr>
        <w:t xml:space="preserve"> view.</w:t>
      </w:r>
    </w:p>
    <w:p w:rsidR="006337A9" w:rsidRPr="006337A9" w:rsidRDefault="006337A9" w:rsidP="006337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37A9">
        <w:rPr>
          <w:rFonts w:ascii="Times New Roman" w:eastAsia="Times New Roman" w:hAnsi="Times New Roman" w:cs="Times New Roman"/>
          <w:sz w:val="24"/>
          <w:szCs w:val="24"/>
        </w:rPr>
        <w:t>Compare: Compare measured results against approved targets.</w:t>
      </w:r>
    </w:p>
    <w:p w:rsidR="006337A9" w:rsidRPr="006337A9" w:rsidRDefault="006337A9" w:rsidP="006337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37A9">
        <w:rPr>
          <w:rFonts w:ascii="Times New Roman" w:eastAsia="Times New Roman" w:hAnsi="Times New Roman" w:cs="Times New Roman"/>
          <w:sz w:val="24"/>
          <w:szCs w:val="24"/>
        </w:rPr>
        <w:t>Investigate: Identify the affected facilities, records, and likely causes of deviations.</w:t>
      </w:r>
    </w:p>
    <w:p w:rsidR="006337A9" w:rsidRPr="006337A9" w:rsidRDefault="006337A9" w:rsidP="006337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37A9">
        <w:rPr>
          <w:rFonts w:ascii="Times New Roman" w:eastAsia="Times New Roman" w:hAnsi="Times New Roman" w:cs="Times New Roman"/>
          <w:sz w:val="24"/>
          <w:szCs w:val="24"/>
        </w:rPr>
        <w:t>Correct: Assign exceptions to the responsible data custodian or data steward.</w:t>
      </w:r>
    </w:p>
    <w:p w:rsidR="006337A9" w:rsidRPr="006337A9" w:rsidRDefault="006337A9" w:rsidP="006337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37A9">
        <w:rPr>
          <w:rFonts w:ascii="Times New Roman" w:eastAsia="Times New Roman" w:hAnsi="Times New Roman" w:cs="Times New Roman"/>
          <w:sz w:val="24"/>
          <w:szCs w:val="24"/>
        </w:rPr>
        <w:t>Verify: Rerun the validation checks to confirm that the correction resolved the issue.</w:t>
      </w:r>
    </w:p>
    <w:p w:rsidR="006337A9" w:rsidRPr="006337A9" w:rsidRDefault="006337A9" w:rsidP="006337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337A9">
        <w:rPr>
          <w:rFonts w:ascii="Times New Roman" w:eastAsia="Times New Roman" w:hAnsi="Times New Roman" w:cs="Times New Roman"/>
          <w:sz w:val="24"/>
          <w:szCs w:val="24"/>
        </w:rPr>
        <w:t>Report: Document the results, unresolved exceptions, corrective actions, and trends for management review.</w:t>
      </w:r>
    </w:p>
    <w:p w:rsidR="006337A9" w:rsidRPr="006337A9" w:rsidRDefault="006337A9" w:rsidP="006337A9">
      <w:pPr>
        <w:spacing w:before="100" w:beforeAutospacing="1" w:after="100" w:afterAutospacing="1" w:line="240" w:lineRule="auto"/>
        <w:rPr>
          <w:rFonts w:ascii="Times New Roman" w:eastAsia="Times New Roman" w:hAnsi="Times New Roman" w:cs="Times New Roman"/>
          <w:sz w:val="24"/>
          <w:szCs w:val="24"/>
        </w:rPr>
      </w:pPr>
      <w:r w:rsidRPr="006337A9">
        <w:rPr>
          <w:rFonts w:ascii="Times New Roman" w:eastAsia="Times New Roman" w:hAnsi="Times New Roman" w:cs="Times New Roman"/>
          <w:sz w:val="24"/>
          <w:szCs w:val="24"/>
        </w:rPr>
        <w:t xml:space="preserve">Critical problems, such as </w:t>
      </w:r>
      <w:proofErr w:type="spellStart"/>
      <w:r w:rsidRPr="006337A9">
        <w:rPr>
          <w:rFonts w:ascii="Times New Roman" w:eastAsia="Times New Roman" w:hAnsi="Times New Roman" w:cs="Times New Roman"/>
          <w:sz w:val="24"/>
          <w:szCs w:val="24"/>
        </w:rPr>
        <w:t>unauthorised</w:t>
      </w:r>
      <w:proofErr w:type="spellEnd"/>
      <w:r w:rsidRPr="006337A9">
        <w:rPr>
          <w:rFonts w:ascii="Times New Roman" w:eastAsia="Times New Roman" w:hAnsi="Times New Roman" w:cs="Times New Roman"/>
          <w:sz w:val="24"/>
          <w:szCs w:val="24"/>
        </w:rPr>
        <w:t xml:space="preserve"> changes to patient records or suspected exposure of sensitive data, must be escalated immediately through the security incident response process rather than waiting for the next scheduled review.</w:t>
      </w:r>
    </w:p>
    <w:p w:rsidR="006337A9" w:rsidRPr="006337A9" w:rsidRDefault="006337A9" w:rsidP="006337A9">
      <w:pPr>
        <w:spacing w:before="100" w:beforeAutospacing="1" w:after="100" w:afterAutospacing="1" w:line="240" w:lineRule="auto"/>
        <w:outlineLvl w:val="2"/>
        <w:rPr>
          <w:rFonts w:ascii="Times New Roman" w:eastAsia="Times New Roman" w:hAnsi="Times New Roman" w:cs="Times New Roman"/>
          <w:b/>
          <w:bCs/>
          <w:sz w:val="27"/>
          <w:szCs w:val="27"/>
        </w:rPr>
      </w:pPr>
      <w:r w:rsidRPr="006337A9">
        <w:rPr>
          <w:rFonts w:ascii="Times New Roman" w:eastAsia="Times New Roman" w:hAnsi="Times New Roman" w:cs="Times New Roman"/>
          <w:b/>
          <w:bCs/>
          <w:sz w:val="27"/>
          <w:szCs w:val="27"/>
        </w:rPr>
        <w:t>4. Reporting and accountability</w:t>
      </w:r>
    </w:p>
    <w:p w:rsidR="006337A9" w:rsidRPr="006337A9" w:rsidRDefault="006337A9" w:rsidP="006337A9">
      <w:pPr>
        <w:spacing w:before="100" w:beforeAutospacing="1" w:after="100" w:afterAutospacing="1" w:line="240" w:lineRule="auto"/>
        <w:rPr>
          <w:rFonts w:ascii="Times New Roman" w:eastAsia="Times New Roman" w:hAnsi="Times New Roman" w:cs="Times New Roman"/>
          <w:sz w:val="24"/>
          <w:szCs w:val="24"/>
        </w:rPr>
      </w:pPr>
      <w:r w:rsidRPr="006337A9">
        <w:rPr>
          <w:rFonts w:ascii="Times New Roman" w:eastAsia="Times New Roman" w:hAnsi="Times New Roman" w:cs="Times New Roman"/>
          <w:sz w:val="24"/>
          <w:szCs w:val="24"/>
        </w:rPr>
        <w:t>The Database Administrator will maintain technical monitoring results, while Data Stewards will manage duplicate resolution and data correction. Facility Data Officers will address recurring errors originating at their facilities. The Data Governance Lead will review the weekly scorecard and coordinate corrective actions.</w:t>
      </w:r>
    </w:p>
    <w:p w:rsidR="006337A9" w:rsidRPr="006337A9" w:rsidRDefault="006337A9" w:rsidP="006337A9">
      <w:pPr>
        <w:spacing w:before="100" w:beforeAutospacing="1" w:after="100" w:afterAutospacing="1" w:line="240" w:lineRule="auto"/>
        <w:rPr>
          <w:rFonts w:ascii="Times New Roman" w:eastAsia="Times New Roman" w:hAnsi="Times New Roman" w:cs="Times New Roman"/>
          <w:sz w:val="24"/>
          <w:szCs w:val="24"/>
        </w:rPr>
      </w:pPr>
      <w:r w:rsidRPr="006337A9">
        <w:rPr>
          <w:rFonts w:ascii="Times New Roman" w:eastAsia="Times New Roman" w:hAnsi="Times New Roman" w:cs="Times New Roman"/>
          <w:sz w:val="24"/>
          <w:szCs w:val="24"/>
        </w:rPr>
        <w:t xml:space="preserve">Monthly reports will </w:t>
      </w:r>
      <w:proofErr w:type="spellStart"/>
      <w:r w:rsidRPr="006337A9">
        <w:rPr>
          <w:rFonts w:ascii="Times New Roman" w:eastAsia="Times New Roman" w:hAnsi="Times New Roman" w:cs="Times New Roman"/>
          <w:sz w:val="24"/>
          <w:szCs w:val="24"/>
        </w:rPr>
        <w:t>summarise</w:t>
      </w:r>
      <w:proofErr w:type="spellEnd"/>
      <w:r w:rsidRPr="006337A9">
        <w:rPr>
          <w:rFonts w:ascii="Times New Roman" w:eastAsia="Times New Roman" w:hAnsi="Times New Roman" w:cs="Times New Roman"/>
          <w:sz w:val="24"/>
          <w:szCs w:val="24"/>
        </w:rPr>
        <w:t xml:space="preserve"> performance by facility, outstanding exceptions, trends, and progress toward quality targets. The reports must be available in time to support </w:t>
      </w:r>
      <w:proofErr w:type="spellStart"/>
      <w:r w:rsidRPr="006337A9">
        <w:rPr>
          <w:rFonts w:ascii="Times New Roman" w:eastAsia="Times New Roman" w:hAnsi="Times New Roman" w:cs="Times New Roman"/>
          <w:sz w:val="24"/>
          <w:szCs w:val="24"/>
        </w:rPr>
        <w:t>MediLink's</w:t>
      </w:r>
      <w:proofErr w:type="spellEnd"/>
      <w:r w:rsidRPr="006337A9">
        <w:rPr>
          <w:rFonts w:ascii="Times New Roman" w:eastAsia="Times New Roman" w:hAnsi="Times New Roman" w:cs="Times New Roman"/>
          <w:sz w:val="24"/>
          <w:szCs w:val="24"/>
        </w:rPr>
        <w:t xml:space="preserve"> requirement to submit Ministry of Health reports by the fifth day of each month.</w:t>
      </w:r>
    </w:p>
    <w:p w:rsidR="006337A9" w:rsidRPr="006337A9" w:rsidRDefault="006337A9" w:rsidP="006337A9">
      <w:pPr>
        <w:spacing w:before="100" w:beforeAutospacing="1" w:after="100" w:afterAutospacing="1" w:line="240" w:lineRule="auto"/>
        <w:outlineLvl w:val="2"/>
        <w:rPr>
          <w:rFonts w:ascii="Times New Roman" w:eastAsia="Times New Roman" w:hAnsi="Times New Roman" w:cs="Times New Roman"/>
          <w:b/>
          <w:bCs/>
          <w:sz w:val="27"/>
          <w:szCs w:val="27"/>
        </w:rPr>
      </w:pPr>
      <w:r w:rsidRPr="006337A9">
        <w:rPr>
          <w:rFonts w:ascii="Times New Roman" w:eastAsia="Times New Roman" w:hAnsi="Times New Roman" w:cs="Times New Roman"/>
          <w:b/>
          <w:bCs/>
          <w:sz w:val="27"/>
          <w:szCs w:val="27"/>
        </w:rPr>
        <w:lastRenderedPageBreak/>
        <w:t>5. Continuous improvement</w:t>
      </w:r>
    </w:p>
    <w:p w:rsidR="006337A9" w:rsidRPr="006337A9" w:rsidRDefault="006337A9" w:rsidP="006337A9">
      <w:pPr>
        <w:spacing w:before="100" w:beforeAutospacing="1" w:after="100" w:afterAutospacing="1" w:line="240" w:lineRule="auto"/>
        <w:rPr>
          <w:rFonts w:ascii="Times New Roman" w:eastAsia="Times New Roman" w:hAnsi="Times New Roman" w:cs="Times New Roman"/>
          <w:sz w:val="24"/>
          <w:szCs w:val="24"/>
        </w:rPr>
      </w:pPr>
      <w:proofErr w:type="spellStart"/>
      <w:r w:rsidRPr="006337A9">
        <w:rPr>
          <w:rFonts w:ascii="Times New Roman" w:eastAsia="Times New Roman" w:hAnsi="Times New Roman" w:cs="Times New Roman"/>
          <w:sz w:val="24"/>
          <w:szCs w:val="24"/>
        </w:rPr>
        <w:t>MediLink</w:t>
      </w:r>
      <w:proofErr w:type="spellEnd"/>
      <w:r w:rsidRPr="006337A9">
        <w:rPr>
          <w:rFonts w:ascii="Times New Roman" w:eastAsia="Times New Roman" w:hAnsi="Times New Roman" w:cs="Times New Roman"/>
          <w:sz w:val="24"/>
          <w:szCs w:val="24"/>
        </w:rPr>
        <w:t xml:space="preserve"> will review monitoring results quarterly to determine whether its data-quality controls remain effective. Repeated errors will trigger root-cause analysis, revisions to validation rules, staff training, or improvements to data-entry processes. All significant corrections and approved changes to quality rules will be documented to maintain accountability and traceability.</w:t>
      </w:r>
    </w:p>
    <w:p w:rsidR="006337A9" w:rsidRPr="006337A9" w:rsidRDefault="006337A9" w:rsidP="006337A9">
      <w:pPr>
        <w:spacing w:before="100" w:beforeAutospacing="1" w:after="100" w:afterAutospacing="1" w:line="240" w:lineRule="auto"/>
        <w:rPr>
          <w:rFonts w:ascii="Times New Roman" w:eastAsia="Times New Roman" w:hAnsi="Times New Roman" w:cs="Times New Roman"/>
          <w:sz w:val="24"/>
          <w:szCs w:val="24"/>
        </w:rPr>
      </w:pPr>
      <w:r w:rsidRPr="006337A9">
        <w:rPr>
          <w:rFonts w:ascii="Times New Roman" w:eastAsia="Times New Roman" w:hAnsi="Times New Roman" w:cs="Times New Roman"/>
          <w:sz w:val="24"/>
          <w:szCs w:val="24"/>
        </w:rPr>
        <w:t xml:space="preserve">Expected outcome: This monitoring plan will enable </w:t>
      </w:r>
      <w:proofErr w:type="spellStart"/>
      <w:r w:rsidRPr="006337A9">
        <w:rPr>
          <w:rFonts w:ascii="Times New Roman" w:eastAsia="Times New Roman" w:hAnsi="Times New Roman" w:cs="Times New Roman"/>
          <w:sz w:val="24"/>
          <w:szCs w:val="24"/>
        </w:rPr>
        <w:t>MediLink</w:t>
      </w:r>
      <w:proofErr w:type="spellEnd"/>
      <w:r w:rsidRPr="006337A9">
        <w:rPr>
          <w:rFonts w:ascii="Times New Roman" w:eastAsia="Times New Roman" w:hAnsi="Times New Roman" w:cs="Times New Roman"/>
          <w:sz w:val="24"/>
          <w:szCs w:val="24"/>
        </w:rPr>
        <w:t xml:space="preserve"> to detect data-quality problems early, assign responsibility for their resolution, measure compliance with established targets, and sustain improvements in the reliability of healthcare data.</w:t>
      </w:r>
    </w:p>
    <w:p w:rsidR="001E73DA" w:rsidRDefault="001E73DA">
      <w:bookmarkStart w:id="0" w:name="_GoBack"/>
      <w:bookmarkEnd w:id="0"/>
    </w:p>
    <w:sectPr w:rsidR="001E73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16755A"/>
    <w:multiLevelType w:val="multilevel"/>
    <w:tmpl w:val="B8AAF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076"/>
    <w:rsid w:val="001E73DA"/>
    <w:rsid w:val="006337A9"/>
    <w:rsid w:val="00F53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3BEBF"/>
  <w15:chartTrackingRefBased/>
  <w15:docId w15:val="{AF5172EC-B1B6-4EF6-91BD-BB181F93C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337A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337A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337A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337A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337A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337A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0072729">
      <w:bodyDiv w:val="1"/>
      <w:marLeft w:val="0"/>
      <w:marRight w:val="0"/>
      <w:marTop w:val="0"/>
      <w:marBottom w:val="0"/>
      <w:divBdr>
        <w:top w:val="none" w:sz="0" w:space="0" w:color="auto"/>
        <w:left w:val="none" w:sz="0" w:space="0" w:color="auto"/>
        <w:bottom w:val="none" w:sz="0" w:space="0" w:color="auto"/>
        <w:right w:val="none" w:sz="0" w:space="0" w:color="auto"/>
      </w:divBdr>
    </w:div>
    <w:div w:id="1294748191">
      <w:bodyDiv w:val="1"/>
      <w:marLeft w:val="0"/>
      <w:marRight w:val="0"/>
      <w:marTop w:val="0"/>
      <w:marBottom w:val="0"/>
      <w:divBdr>
        <w:top w:val="none" w:sz="0" w:space="0" w:color="auto"/>
        <w:left w:val="none" w:sz="0" w:space="0" w:color="auto"/>
        <w:bottom w:val="none" w:sz="0" w:space="0" w:color="auto"/>
        <w:right w:val="none" w:sz="0" w:space="0" w:color="auto"/>
      </w:divBdr>
    </w:div>
    <w:div w:id="1537306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684</Words>
  <Characters>3902</Characters>
  <Application>Microsoft Office Word</Application>
  <DocSecurity>0</DocSecurity>
  <Lines>32</Lines>
  <Paragraphs>9</Paragraphs>
  <ScaleCrop>false</ScaleCrop>
  <Company/>
  <LinksUpToDate>false</LinksUpToDate>
  <CharactersWithSpaces>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Kasimagwa Steven</dc:creator>
  <cp:keywords/>
  <dc:description/>
  <cp:lastModifiedBy>Kasimagwa Steven</cp:lastModifiedBy>
  <cp:revision>2</cp:revision>
  <dcterms:created xsi:type="dcterms:W3CDTF">2026-10-09T18:52:00Z</dcterms:created>
  <dcterms:modified xsi:type="dcterms:W3CDTF">2026-10-09T18:55:00Z</dcterms:modified>
</cp:coreProperties>
</file>