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5A0C" w14:textId="77777777" w:rsidR="00027B7D" w:rsidRPr="00455E6A" w:rsidRDefault="00E21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Debugging Memory Operations</w:t>
      </w:r>
    </w:p>
    <w:p w14:paraId="67376755" w14:textId="77777777" w:rsidR="002D5A12" w:rsidRDefault="004A668D" w:rsidP="002D5A12">
      <w:r>
        <w:t xml:space="preserve">In the Class Project we </w:t>
      </w:r>
      <w:r w:rsidR="00F61407">
        <w:t xml:space="preserve">will need to debug memory operations (loads and stores) by observing the data which is </w:t>
      </w:r>
      <w:proofErr w:type="gramStart"/>
      <w:r w:rsidR="00F61407">
        <w:t>actually in</w:t>
      </w:r>
      <w:proofErr w:type="gramEnd"/>
      <w:r w:rsidR="00F61407">
        <w:t xml:space="preserve"> memory.  This document describes this process, which will occur in the Debug Perspective.</w:t>
      </w:r>
    </w:p>
    <w:p w14:paraId="53841426" w14:textId="3DD4FC26" w:rsidR="00960170" w:rsidRPr="00455E6A" w:rsidRDefault="00692E47" w:rsidP="0096017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Displaying Memory Contents</w:t>
      </w:r>
    </w:p>
    <w:p w14:paraId="0D05E1B4" w14:textId="04177411" w:rsidR="00E5667F" w:rsidRDefault="00F61407" w:rsidP="00F61407">
      <w:r>
        <w:t>When a program is executing, there will be a tab in the lower Console Window called Memory</w:t>
      </w:r>
      <w:r w:rsidR="00ED5C00">
        <w:t xml:space="preserve">, as shown in </w:t>
      </w:r>
      <w:r w:rsidR="007E27D6">
        <w:fldChar w:fldCharType="begin"/>
      </w:r>
      <w:r w:rsidR="007E27D6">
        <w:instrText xml:space="preserve"> REF _Ref524790628 \h </w:instrText>
      </w:r>
      <w:r w:rsidR="007E27D6">
        <w:fldChar w:fldCharType="separate"/>
      </w:r>
      <w:r w:rsidR="00DC2820" w:rsidRPr="00D47A04">
        <w:t xml:space="preserve">Figure </w:t>
      </w:r>
      <w:r w:rsidR="00DC2820">
        <w:rPr>
          <w:noProof/>
        </w:rPr>
        <w:t>1</w:t>
      </w:r>
      <w:r w:rsidR="007E27D6">
        <w:fldChar w:fldCharType="end"/>
      </w:r>
      <w:r w:rsidR="00ED5C00">
        <w:t>.</w:t>
      </w:r>
      <w:r w:rsidR="007E27D6">
        <w:t xml:space="preserve">  This is the area where the system memory contents may be observed.  This tab can contain one or two Monitors.  In order to add a Monitor, click the small green </w:t>
      </w:r>
      <w:r w:rsidR="00692E47">
        <w:t>Plus Sign</w:t>
      </w:r>
      <w:r w:rsidR="007E27D6">
        <w:t xml:space="preserve">, and the Dialog Box shown in </w:t>
      </w:r>
      <w:r w:rsidR="007E27D6">
        <w:fldChar w:fldCharType="begin"/>
      </w:r>
      <w:r w:rsidR="007E27D6">
        <w:instrText xml:space="preserve"> REF _Ref524790941 \h </w:instrText>
      </w:r>
      <w:r w:rsidR="007E27D6">
        <w:fldChar w:fldCharType="separate"/>
      </w:r>
      <w:r w:rsidR="00DC2820" w:rsidRPr="00D47A04">
        <w:t xml:space="preserve">Figure </w:t>
      </w:r>
      <w:r w:rsidR="00DC2820">
        <w:rPr>
          <w:noProof/>
        </w:rPr>
        <w:t>2</w:t>
      </w:r>
      <w:r w:rsidR="007E27D6">
        <w:fldChar w:fldCharType="end"/>
      </w:r>
      <w:r w:rsidR="007E27D6">
        <w:t xml:space="preserve"> will appear.  Select “Enter memory space and address” with the radio button.  The memory space will typically be “</w:t>
      </w:r>
      <w:proofErr w:type="spellStart"/>
      <w:r w:rsidR="007E27D6">
        <w:t>standardname.as_</w:t>
      </w:r>
      <w:r w:rsidR="006F02F8">
        <w:t>data</w:t>
      </w:r>
      <w:proofErr w:type="spellEnd"/>
      <w:r w:rsidR="007E27D6">
        <w:t xml:space="preserve">”, where </w:t>
      </w:r>
      <w:proofErr w:type="spellStart"/>
      <w:r w:rsidR="007E27D6">
        <w:t>standardname</w:t>
      </w:r>
      <w:proofErr w:type="spellEnd"/>
      <w:r w:rsidR="007E27D6">
        <w:t xml:space="preserve"> is the name of the current project</w:t>
      </w:r>
      <w:r w:rsidR="006F02F8">
        <w:t xml:space="preserve"> – select this from the pulldown choices</w:t>
      </w:r>
      <w:r w:rsidR="007E27D6">
        <w:t>.  The box to the right of the memory space, which is the starting address, MUST have 0 entered (a blank entry will not work)</w:t>
      </w:r>
      <w:r w:rsidR="00692E47">
        <w:t xml:space="preserve">, as shown in </w:t>
      </w:r>
      <w:r w:rsidR="00692E47">
        <w:fldChar w:fldCharType="begin"/>
      </w:r>
      <w:r w:rsidR="00692E47">
        <w:instrText xml:space="preserve"> REF _Ref524791175 \h </w:instrText>
      </w:r>
      <w:r w:rsidR="00692E47">
        <w:fldChar w:fldCharType="separate"/>
      </w:r>
      <w:r w:rsidR="00DC2820" w:rsidRPr="00D47A04">
        <w:t xml:space="preserve">Figure </w:t>
      </w:r>
      <w:r w:rsidR="00DC2820">
        <w:rPr>
          <w:noProof/>
        </w:rPr>
        <w:t>3</w:t>
      </w:r>
      <w:r w:rsidR="00692E47">
        <w:fldChar w:fldCharType="end"/>
      </w:r>
      <w:r w:rsidR="00692E47">
        <w:t>.  Click OK.</w:t>
      </w:r>
    </w:p>
    <w:p w14:paraId="35B07F72" w14:textId="132A4B9F" w:rsidR="0077465A" w:rsidRDefault="00AD22CB" w:rsidP="007746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3DA9E" wp14:editId="44A01E37">
                <wp:simplePos x="0" y="0"/>
                <wp:positionH relativeFrom="column">
                  <wp:posOffset>2592125</wp:posOffset>
                </wp:positionH>
                <wp:positionV relativeFrom="paragraph">
                  <wp:posOffset>391215</wp:posOffset>
                </wp:positionV>
                <wp:extent cx="1749287" cy="652007"/>
                <wp:effectExtent l="38100" t="38100" r="2286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287" cy="6520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1B4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1pt;margin-top:30.8pt;width:137.75pt;height:51.3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 w:rsidR="007E27D6">
        <w:rPr>
          <w:noProof/>
        </w:rPr>
        <w:drawing>
          <wp:inline distT="0" distB="0" distL="0" distR="0" wp14:anchorId="655C4495" wp14:editId="1FBFEB69">
            <wp:extent cx="3688400" cy="20575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g - Memory T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1613" w14:textId="5DC06408" w:rsidR="007E27D6" w:rsidRDefault="007E27D6" w:rsidP="007E27D6">
      <w:pPr>
        <w:pStyle w:val="Caption"/>
        <w:rPr>
          <w:noProof/>
        </w:rPr>
      </w:pPr>
      <w:bookmarkStart w:id="0" w:name="_Ref524790628"/>
      <w:r w:rsidRPr="00D47A04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DC2820">
        <w:rPr>
          <w:noProof/>
        </w:rPr>
        <w:t>1</w:t>
      </w:r>
      <w:r>
        <w:rPr>
          <w:noProof/>
        </w:rPr>
        <w:fldChar w:fldCharType="end"/>
      </w:r>
      <w:bookmarkEnd w:id="0"/>
    </w:p>
    <w:p w14:paraId="417360D7" w14:textId="4DA0D727" w:rsidR="007E27D6" w:rsidRDefault="006F02F8" w:rsidP="007E27D6">
      <w:r>
        <w:rPr>
          <w:noProof/>
        </w:rPr>
        <w:drawing>
          <wp:inline distT="0" distB="0" distL="0" distR="0" wp14:anchorId="2E6ACB23" wp14:editId="225E98CC">
            <wp:extent cx="2568271" cy="1480021"/>
            <wp:effectExtent l="0" t="0" r="381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g - Monitor Dialo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11" cy="14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20CE" w14:textId="49C74C74" w:rsidR="007E27D6" w:rsidRDefault="007E27D6" w:rsidP="007E27D6">
      <w:pPr>
        <w:pStyle w:val="Caption"/>
        <w:rPr>
          <w:noProof/>
        </w:rPr>
      </w:pPr>
      <w:bookmarkStart w:id="1" w:name="_Ref524790941"/>
      <w:r w:rsidRPr="00D47A04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DC2820">
        <w:rPr>
          <w:noProof/>
        </w:rPr>
        <w:t>2</w:t>
      </w:r>
      <w:r>
        <w:rPr>
          <w:noProof/>
        </w:rPr>
        <w:fldChar w:fldCharType="end"/>
      </w:r>
      <w:bookmarkEnd w:id="1"/>
    </w:p>
    <w:p w14:paraId="6D553571" w14:textId="5F8AAED6" w:rsidR="00692E47" w:rsidRPr="00692E47" w:rsidRDefault="006F02F8" w:rsidP="00692E47">
      <w:r>
        <w:rPr>
          <w:noProof/>
        </w:rPr>
        <w:lastRenderedPageBreak/>
        <w:drawing>
          <wp:inline distT="0" distB="0" distL="0" distR="0" wp14:anchorId="66623177" wp14:editId="4B7E39CB">
            <wp:extent cx="2679590" cy="1525772"/>
            <wp:effectExtent l="0" t="0" r="698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g - Monitor Dialog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975" cy="15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5247" w14:textId="08D2E933" w:rsidR="00692E47" w:rsidRDefault="00692E47" w:rsidP="00692E47">
      <w:pPr>
        <w:pStyle w:val="Caption"/>
        <w:rPr>
          <w:noProof/>
        </w:rPr>
      </w:pPr>
      <w:bookmarkStart w:id="2" w:name="_Ref524791175"/>
      <w:r w:rsidRPr="00D47A04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DC2820">
        <w:rPr>
          <w:noProof/>
        </w:rPr>
        <w:t>3</w:t>
      </w:r>
      <w:r>
        <w:rPr>
          <w:noProof/>
        </w:rPr>
        <w:fldChar w:fldCharType="end"/>
      </w:r>
      <w:bookmarkEnd w:id="2"/>
    </w:p>
    <w:p w14:paraId="34ECCED1" w14:textId="25A9759E" w:rsidR="00692E47" w:rsidRDefault="00692E47" w:rsidP="00692E47">
      <w:r>
        <w:t xml:space="preserve">This will then add a Rendering to the Monitor.  Each rendering shows the memory data in a slightly different way, and the initial value is the </w:t>
      </w:r>
      <w:proofErr w:type="spellStart"/>
      <w:r>
        <w:t>Codasip</w:t>
      </w:r>
      <w:proofErr w:type="spellEnd"/>
      <w:r>
        <w:t xml:space="preserve"> Hex Rendering as shown in </w:t>
      </w:r>
      <w:r>
        <w:fldChar w:fldCharType="begin"/>
      </w:r>
      <w:r>
        <w:instrText xml:space="preserve"> REF _Ref524791458 \h </w:instrText>
      </w:r>
      <w:r>
        <w:fldChar w:fldCharType="separate"/>
      </w:r>
      <w:r w:rsidR="00DC2820" w:rsidRPr="00D47A04">
        <w:t xml:space="preserve">Figure </w:t>
      </w:r>
      <w:r w:rsidR="00DC2820">
        <w:rPr>
          <w:noProof/>
        </w:rPr>
        <w:t>4</w:t>
      </w:r>
      <w:r>
        <w:fldChar w:fldCharType="end"/>
      </w:r>
      <w:r>
        <w:t xml:space="preserve">.  In this Rendering, the address is shown followed by the 32-bit data (in hex) at that address, that address +1, that address + 2 and that address + 3.  Clicking the green Plus sign next to New Renderings will show </w:t>
      </w:r>
      <w:proofErr w:type="gramStart"/>
      <w:r>
        <w:t>a number of</w:t>
      </w:r>
      <w:proofErr w:type="gramEnd"/>
      <w:r>
        <w:t xml:space="preserve"> other possible Renderings.  “Traditional” shows eight hex values and may be more useful.  Within the Monitor, scrolling moves forward and backward through the address space.</w:t>
      </w:r>
    </w:p>
    <w:p w14:paraId="599004FC" w14:textId="71F090B8" w:rsidR="007E27D6" w:rsidRPr="007E27D6" w:rsidRDefault="007E27D6" w:rsidP="007E27D6"/>
    <w:p w14:paraId="1D59B2B1" w14:textId="5BEB2AF2" w:rsidR="007E27D6" w:rsidRDefault="006F02F8" w:rsidP="0077465A">
      <w:r>
        <w:rPr>
          <w:noProof/>
        </w:rPr>
        <w:drawing>
          <wp:inline distT="0" distB="0" distL="0" distR="0" wp14:anchorId="67DB6F7C" wp14:editId="17D6500A">
            <wp:extent cx="5943600" cy="150749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g - Codasip Hex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5936" w14:textId="15D355AB" w:rsidR="002D5A12" w:rsidRDefault="00692E47" w:rsidP="00692E47">
      <w:pPr>
        <w:pStyle w:val="Caption"/>
        <w:rPr>
          <w:noProof/>
        </w:rPr>
      </w:pPr>
      <w:bookmarkStart w:id="3" w:name="_Ref524791458"/>
      <w:r w:rsidRPr="00D47A04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DC2820">
        <w:rPr>
          <w:noProof/>
        </w:rPr>
        <w:t>4</w:t>
      </w:r>
      <w:r>
        <w:rPr>
          <w:noProof/>
        </w:rPr>
        <w:fldChar w:fldCharType="end"/>
      </w:r>
      <w:bookmarkEnd w:id="3"/>
    </w:p>
    <w:p w14:paraId="29A78EF9" w14:textId="764EE426" w:rsidR="00692E47" w:rsidRDefault="00692E47" w:rsidP="00692E47">
      <w:r>
        <w:t>If the simulation is stopped, the Monitor will go away</w:t>
      </w:r>
      <w:r w:rsidR="00FB00FD">
        <w:t xml:space="preserve">.  If the simulation is run again, the Monitor should be restored.  In that case you will have to double click </w:t>
      </w:r>
      <w:proofErr w:type="spellStart"/>
      <w:r w:rsidR="00FB00FD">
        <w:t>Codasip</w:t>
      </w:r>
      <w:proofErr w:type="spellEnd"/>
      <w:r w:rsidR="00FB00FD">
        <w:t xml:space="preserve"> Hex Rendering (or another desired Rendering) to select it.</w:t>
      </w:r>
    </w:p>
    <w:p w14:paraId="60DA5879" w14:textId="1B742E3A" w:rsidR="00E96CDD" w:rsidRPr="00455E6A" w:rsidRDefault="00E96CDD" w:rsidP="00E96CD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Little Endian Memory</w:t>
      </w:r>
    </w:p>
    <w:p w14:paraId="32008B82" w14:textId="5BDCD59A" w:rsidR="00DC2820" w:rsidRDefault="00E96CDD" w:rsidP="006F02F8">
      <w:r>
        <w:t xml:space="preserve">The first test program which uses memory is phase2_test, so initiate that simulation (this will show the data in </w:t>
      </w:r>
      <w:r>
        <w:fldChar w:fldCharType="begin"/>
      </w:r>
      <w:r>
        <w:instrText xml:space="preserve"> REF _Ref524791458 \h </w:instrText>
      </w:r>
      <w:r>
        <w:fldChar w:fldCharType="separate"/>
      </w:r>
      <w:r w:rsidR="00DC2820" w:rsidRPr="00D47A04">
        <w:t xml:space="preserve">Figure </w:t>
      </w:r>
      <w:r w:rsidR="00DC2820">
        <w:rPr>
          <w:noProof/>
        </w:rPr>
        <w:t>4</w:t>
      </w:r>
      <w:r>
        <w:fldChar w:fldCharType="end"/>
      </w:r>
      <w:r>
        <w:t xml:space="preserve"> above).  </w:t>
      </w:r>
      <w:r w:rsidR="006F02F8">
        <w:t xml:space="preserve">If the test passes, scroll down until you can see addresses starting at 0x7C0.  </w:t>
      </w:r>
      <w:r>
        <w:t>The highlighted value is in address 0</w:t>
      </w:r>
      <w:r w:rsidR="006F02F8">
        <w:t>x7E4</w:t>
      </w:r>
      <w:r>
        <w:t xml:space="preserve">.  Because RISC-V is a </w:t>
      </w:r>
      <w:proofErr w:type="gramStart"/>
      <w:r>
        <w:t>Little Endian</w:t>
      </w:r>
      <w:proofErr w:type="gramEnd"/>
      <w:r>
        <w:t xml:space="preserve"> architecture, the first two digits (the first two nibbles – “1</w:t>
      </w:r>
      <w:r w:rsidR="006F02F8">
        <w:t>2</w:t>
      </w:r>
      <w:r>
        <w:t xml:space="preserve">”) are the least significant byte of the 32-bit word at address 0.  The next two digits are the second least significant byte, and so on.  As a result, </w:t>
      </w:r>
      <w:r w:rsidR="006F02F8">
        <w:t>the value which was written from the processor has</w:t>
      </w:r>
      <w:r>
        <w:t xml:space="preserve"> the bytes reversed – 0x</w:t>
      </w:r>
      <w:r w:rsidR="006F02F8">
        <w:t>78564312</w:t>
      </w:r>
      <w:r>
        <w:t xml:space="preserve">.  </w:t>
      </w:r>
    </w:p>
    <w:p w14:paraId="1A89B61A" w14:textId="3B5B4289" w:rsidR="004C66D0" w:rsidRDefault="004C66D0" w:rsidP="00692E47">
      <w:r>
        <w:t>Note that the actual value is NOT all eight nibbles reversed – the 8-bit bytes are reversed.</w:t>
      </w:r>
    </w:p>
    <w:p w14:paraId="0D3711CD" w14:textId="77777777" w:rsidR="00AD22CB" w:rsidRDefault="00AD22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B7CD86" w14:textId="4DB3FE7E" w:rsidR="00DC2820" w:rsidRPr="00455E6A" w:rsidRDefault="006F02F8" w:rsidP="00DC282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4" w:name="_GoBack"/>
      <w:bookmarkEnd w:id="4"/>
      <w:r>
        <w:rPr>
          <w:b/>
          <w:sz w:val="28"/>
          <w:szCs w:val="28"/>
        </w:rPr>
        <w:lastRenderedPageBreak/>
        <w:t>Separate</w:t>
      </w:r>
      <w:r w:rsidR="00DC2820">
        <w:rPr>
          <w:b/>
          <w:sz w:val="28"/>
          <w:szCs w:val="28"/>
        </w:rPr>
        <w:t xml:space="preserve"> Memory Space</w:t>
      </w:r>
      <w:r>
        <w:rPr>
          <w:b/>
          <w:sz w:val="28"/>
          <w:szCs w:val="28"/>
        </w:rPr>
        <w:t>s</w:t>
      </w:r>
    </w:p>
    <w:p w14:paraId="1614BF4D" w14:textId="63C54A6F" w:rsidR="00DC2820" w:rsidRDefault="00DC2820" w:rsidP="00692E47">
      <w:r>
        <w:t xml:space="preserve">RISC-V is a Harvard architecture, which means that there should be separate instruction and data memories, each with their own address space.  </w:t>
      </w:r>
      <w:r w:rsidR="006F02F8">
        <w:t xml:space="preserve">In </w:t>
      </w:r>
      <w:proofErr w:type="spellStart"/>
      <w:r w:rsidR="006F02F8">
        <w:t>Codasip</w:t>
      </w:r>
      <w:proofErr w:type="spellEnd"/>
      <w:r w:rsidR="006F02F8">
        <w:t xml:space="preserve"> we have two memory spaces defined as “</w:t>
      </w:r>
      <w:proofErr w:type="spellStart"/>
      <w:r w:rsidR="006F02F8">
        <w:t>as_code</w:t>
      </w:r>
      <w:proofErr w:type="spellEnd"/>
      <w:r w:rsidR="006F02F8">
        <w:t>” (the Instruction Memory) and “</w:t>
      </w:r>
      <w:proofErr w:type="spellStart"/>
      <w:r w:rsidR="006F02F8">
        <w:t>as_data</w:t>
      </w:r>
      <w:proofErr w:type="spellEnd"/>
      <w:r w:rsidR="006F02F8">
        <w:t xml:space="preserve">” (the Data Memory).  We will not need to look at the Instruction Memory since it doesn’t change, which is why we selected the memory space </w:t>
      </w:r>
      <w:proofErr w:type="spellStart"/>
      <w:r w:rsidR="006F02F8">
        <w:t>as_data</w:t>
      </w:r>
      <w:proofErr w:type="spellEnd"/>
      <w:r w:rsidR="006F02F8">
        <w:t xml:space="preserve"> in Section 1.</w:t>
      </w:r>
    </w:p>
    <w:p w14:paraId="7B6DC5A3" w14:textId="5B2C0DF3" w:rsidR="00FB00FD" w:rsidRPr="00455E6A" w:rsidRDefault="00FB00FD" w:rsidP="00FB00F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Observing Memory Changes</w:t>
      </w:r>
    </w:p>
    <w:p w14:paraId="1912A5C2" w14:textId="0AB857DF" w:rsidR="00FB00FD" w:rsidRDefault="00FB00FD" w:rsidP="00692E47">
      <w:r>
        <w:t xml:space="preserve">The first memory location </w:t>
      </w:r>
      <w:r w:rsidR="00DC2820">
        <w:t>phase2_test</w:t>
      </w:r>
      <w:r>
        <w:t xml:space="preserve"> writes to is </w:t>
      </w:r>
      <w:r w:rsidR="00DC2820">
        <w:t xml:space="preserve">in line </w:t>
      </w:r>
      <w:r w:rsidR="006F02F8">
        <w:t>554</w:t>
      </w:r>
      <w:r w:rsidR="00DC2820">
        <w:t>, which is a store word (</w:t>
      </w:r>
      <w:proofErr w:type="spellStart"/>
      <w:r w:rsidR="00DC2820">
        <w:t>sw</w:t>
      </w:r>
      <w:proofErr w:type="spellEnd"/>
      <w:r w:rsidR="00DC2820">
        <w:t xml:space="preserve">) to </w:t>
      </w:r>
      <w:r>
        <w:t>a base address of x</w:t>
      </w:r>
      <w:r w:rsidR="006F02F8">
        <w:t>26</w:t>
      </w:r>
      <w:r>
        <w:t xml:space="preserve"> (</w:t>
      </w:r>
      <w:r w:rsidR="006F02F8">
        <w:t>which has been set to 0</w:t>
      </w:r>
      <w:r>
        <w:t xml:space="preserve">) and an immediate offset of </w:t>
      </w:r>
      <w:r w:rsidR="006F02F8">
        <w:t>0x7CC</w:t>
      </w:r>
      <w:r w:rsidR="00DC2820">
        <w:t xml:space="preserve"> to create the address 0x</w:t>
      </w:r>
      <w:r w:rsidR="006F02F8">
        <w:t>7CC</w:t>
      </w:r>
      <w:r>
        <w:t xml:space="preserve">.  Scroll down in the Memory Monitor until </w:t>
      </w:r>
      <w:r w:rsidR="00E96CDD">
        <w:t xml:space="preserve">the line with </w:t>
      </w:r>
      <w:r w:rsidR="006F02F8">
        <w:t>7C0</w:t>
      </w:r>
      <w:r w:rsidR="00E96CDD">
        <w:t xml:space="preserve"> at the start appears.  The initial data at that location is 0</w:t>
      </w:r>
      <w:r w:rsidR="00DC2820">
        <w:t>, which is the initial value of all of data memory.</w:t>
      </w:r>
    </w:p>
    <w:p w14:paraId="352AC330" w14:textId="484179A5" w:rsidR="00DC2820" w:rsidRDefault="00DC2820" w:rsidP="00692E47">
      <w:r>
        <w:t xml:space="preserve">Run the test to line </w:t>
      </w:r>
      <w:r w:rsidR="006F02F8">
        <w:t>554</w:t>
      </w:r>
      <w:r>
        <w:t>, either by stepping or by setting a breakpoint.  At that point the memory value at address 0x</w:t>
      </w:r>
      <w:r w:rsidR="006F02F8">
        <w:t>7CC</w:t>
      </w:r>
      <w:r w:rsidR="005B2DD4">
        <w:t xml:space="preserve"> </w:t>
      </w:r>
      <w:r>
        <w:t>is still 0.  However, one step changes the value to 0x</w:t>
      </w:r>
      <w:r w:rsidR="005B2DD4">
        <w:t>32</w:t>
      </w:r>
      <w:r>
        <w:t xml:space="preserve">000000 and highlights the word to indicate that it was written, as shown in </w:t>
      </w:r>
      <w:r>
        <w:fldChar w:fldCharType="begin"/>
      </w:r>
      <w:r>
        <w:instrText xml:space="preserve"> REF _Ref524793548 \h </w:instrText>
      </w:r>
      <w:r>
        <w:fldChar w:fldCharType="separate"/>
      </w:r>
      <w:r w:rsidRPr="00D47A04">
        <w:t xml:space="preserve">Figure </w:t>
      </w:r>
      <w:r>
        <w:rPr>
          <w:noProof/>
        </w:rPr>
        <w:t>5</w:t>
      </w:r>
      <w:r>
        <w:fldChar w:fldCharType="end"/>
      </w:r>
      <w:r>
        <w:t xml:space="preserve">.  Note that because of the Little Endianness, the actual register value written </w:t>
      </w:r>
      <w:r w:rsidR="00F47522">
        <w:t>(from x10) was 0x000000</w:t>
      </w:r>
      <w:r w:rsidR="005B2DD4">
        <w:t>32, which indicates case 50</w:t>
      </w:r>
      <w:r w:rsidR="00F47522">
        <w:t>.</w:t>
      </w:r>
    </w:p>
    <w:p w14:paraId="75731D37" w14:textId="5DD68C85" w:rsidR="00DC2820" w:rsidRDefault="005B2DD4" w:rsidP="00692E47">
      <w:r>
        <w:rPr>
          <w:noProof/>
        </w:rPr>
        <w:drawing>
          <wp:inline distT="0" distB="0" distL="0" distR="0" wp14:anchorId="0AD9BAF0" wp14:editId="2C43EE06">
            <wp:extent cx="5943600" cy="1527175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g - Mem Wr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F4ED" w14:textId="7E32BF5D" w:rsidR="00DC2820" w:rsidRDefault="00DC2820" w:rsidP="00DC2820">
      <w:pPr>
        <w:pStyle w:val="Caption"/>
        <w:rPr>
          <w:noProof/>
        </w:rPr>
      </w:pPr>
      <w:bookmarkStart w:id="5" w:name="_Ref524793548"/>
      <w:r w:rsidRPr="00D47A04"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5"/>
    </w:p>
    <w:p w14:paraId="00FB4245" w14:textId="00F914BC" w:rsidR="00DC2820" w:rsidRPr="00692E47" w:rsidRDefault="00F47522" w:rsidP="00692E47">
      <w:r>
        <w:t>Observing the values in memory is a good way to debug failures with memory operations.</w:t>
      </w:r>
      <w:r w:rsidR="004C66D0">
        <w:t xml:space="preserve">  On a load, the destination register should be loaded with the value from the selected memory location.</w:t>
      </w:r>
    </w:p>
    <w:sectPr w:rsidR="00DC2820" w:rsidRPr="00692E47" w:rsidSect="0011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878"/>
    <w:multiLevelType w:val="hybridMultilevel"/>
    <w:tmpl w:val="5798E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FB0"/>
    <w:multiLevelType w:val="hybridMultilevel"/>
    <w:tmpl w:val="00FE4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03DC1"/>
    <w:multiLevelType w:val="hybridMultilevel"/>
    <w:tmpl w:val="F8C0A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32C28"/>
    <w:multiLevelType w:val="hybridMultilevel"/>
    <w:tmpl w:val="13FC2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61F"/>
    <w:multiLevelType w:val="hybridMultilevel"/>
    <w:tmpl w:val="0E924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A13A3"/>
    <w:multiLevelType w:val="hybridMultilevel"/>
    <w:tmpl w:val="B3B80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497"/>
    <w:multiLevelType w:val="hybridMultilevel"/>
    <w:tmpl w:val="444A4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715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831711"/>
    <w:multiLevelType w:val="hybridMultilevel"/>
    <w:tmpl w:val="7240721E"/>
    <w:lvl w:ilvl="0" w:tplc="51E669C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20396"/>
    <w:multiLevelType w:val="hybridMultilevel"/>
    <w:tmpl w:val="9F982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90EADE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C2EEF"/>
    <w:multiLevelType w:val="hybridMultilevel"/>
    <w:tmpl w:val="3F6EB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166BC"/>
    <w:multiLevelType w:val="hybridMultilevel"/>
    <w:tmpl w:val="D22C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13573"/>
    <w:multiLevelType w:val="hybridMultilevel"/>
    <w:tmpl w:val="5798E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302E4"/>
    <w:multiLevelType w:val="hybridMultilevel"/>
    <w:tmpl w:val="BF64F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174AB"/>
    <w:multiLevelType w:val="hybridMultilevel"/>
    <w:tmpl w:val="C93CB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A4FAA"/>
    <w:multiLevelType w:val="hybridMultilevel"/>
    <w:tmpl w:val="77E4DA54"/>
    <w:lvl w:ilvl="0" w:tplc="3148E1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042C8D"/>
    <w:multiLevelType w:val="hybridMultilevel"/>
    <w:tmpl w:val="563EF68C"/>
    <w:lvl w:ilvl="0" w:tplc="87844B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2"/>
  </w:num>
  <w:num w:numId="5">
    <w:abstractNumId w:val="8"/>
  </w:num>
  <w:num w:numId="6">
    <w:abstractNumId w:val="16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  <w:num w:numId="12">
    <w:abstractNumId w:val="1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6A"/>
    <w:rsid w:val="00003858"/>
    <w:rsid w:val="000054BA"/>
    <w:rsid w:val="00027B7D"/>
    <w:rsid w:val="000829D2"/>
    <w:rsid w:val="000C7675"/>
    <w:rsid w:val="000D2F2E"/>
    <w:rsid w:val="000E75BD"/>
    <w:rsid w:val="0011310E"/>
    <w:rsid w:val="00122BF0"/>
    <w:rsid w:val="00183CB1"/>
    <w:rsid w:val="001D17C3"/>
    <w:rsid w:val="001F7457"/>
    <w:rsid w:val="00295BAF"/>
    <w:rsid w:val="002A28B9"/>
    <w:rsid w:val="002B63EF"/>
    <w:rsid w:val="002C606D"/>
    <w:rsid w:val="002D31F8"/>
    <w:rsid w:val="002D5A12"/>
    <w:rsid w:val="002E68B5"/>
    <w:rsid w:val="00302A1D"/>
    <w:rsid w:val="00317645"/>
    <w:rsid w:val="00331942"/>
    <w:rsid w:val="00362613"/>
    <w:rsid w:val="003700E9"/>
    <w:rsid w:val="00370566"/>
    <w:rsid w:val="00376C32"/>
    <w:rsid w:val="00377EC5"/>
    <w:rsid w:val="00396497"/>
    <w:rsid w:val="003A772B"/>
    <w:rsid w:val="003C4A74"/>
    <w:rsid w:val="003F6657"/>
    <w:rsid w:val="00404415"/>
    <w:rsid w:val="00417FD4"/>
    <w:rsid w:val="00443B59"/>
    <w:rsid w:val="00455E6A"/>
    <w:rsid w:val="00466730"/>
    <w:rsid w:val="00467F4A"/>
    <w:rsid w:val="0049305B"/>
    <w:rsid w:val="00495B3F"/>
    <w:rsid w:val="004A668D"/>
    <w:rsid w:val="004C66D0"/>
    <w:rsid w:val="004F7DD6"/>
    <w:rsid w:val="00532BB8"/>
    <w:rsid w:val="00557A77"/>
    <w:rsid w:val="005A21AA"/>
    <w:rsid w:val="005A56FC"/>
    <w:rsid w:val="005B2DD4"/>
    <w:rsid w:val="005B717E"/>
    <w:rsid w:val="00607A3A"/>
    <w:rsid w:val="00677090"/>
    <w:rsid w:val="00691FE0"/>
    <w:rsid w:val="00692E47"/>
    <w:rsid w:val="006D73E5"/>
    <w:rsid w:val="006E5308"/>
    <w:rsid w:val="006F02F8"/>
    <w:rsid w:val="00750B13"/>
    <w:rsid w:val="00767C58"/>
    <w:rsid w:val="0077465A"/>
    <w:rsid w:val="00797BF0"/>
    <w:rsid w:val="007A2F7F"/>
    <w:rsid w:val="007A4688"/>
    <w:rsid w:val="007D6B3D"/>
    <w:rsid w:val="007E27D6"/>
    <w:rsid w:val="007E4CC3"/>
    <w:rsid w:val="008044AC"/>
    <w:rsid w:val="00827870"/>
    <w:rsid w:val="00856D92"/>
    <w:rsid w:val="008923F8"/>
    <w:rsid w:val="008E1B1F"/>
    <w:rsid w:val="008F2911"/>
    <w:rsid w:val="00900EB9"/>
    <w:rsid w:val="0092277E"/>
    <w:rsid w:val="0092439C"/>
    <w:rsid w:val="00960170"/>
    <w:rsid w:val="009A71F5"/>
    <w:rsid w:val="009B39DE"/>
    <w:rsid w:val="009B6BFD"/>
    <w:rsid w:val="009B7873"/>
    <w:rsid w:val="009C073A"/>
    <w:rsid w:val="009D5DC6"/>
    <w:rsid w:val="00A51149"/>
    <w:rsid w:val="00A6242A"/>
    <w:rsid w:val="00A63569"/>
    <w:rsid w:val="00A778A7"/>
    <w:rsid w:val="00AD22CB"/>
    <w:rsid w:val="00AF1504"/>
    <w:rsid w:val="00B33A1F"/>
    <w:rsid w:val="00B425DD"/>
    <w:rsid w:val="00B53CCA"/>
    <w:rsid w:val="00B55461"/>
    <w:rsid w:val="00B601EE"/>
    <w:rsid w:val="00B741F1"/>
    <w:rsid w:val="00B84458"/>
    <w:rsid w:val="00BA0802"/>
    <w:rsid w:val="00BA19DA"/>
    <w:rsid w:val="00BC4259"/>
    <w:rsid w:val="00BC4D1B"/>
    <w:rsid w:val="00BC7359"/>
    <w:rsid w:val="00BD3051"/>
    <w:rsid w:val="00BD3616"/>
    <w:rsid w:val="00BD4138"/>
    <w:rsid w:val="00C1116D"/>
    <w:rsid w:val="00C11F6D"/>
    <w:rsid w:val="00C1598B"/>
    <w:rsid w:val="00C31CDB"/>
    <w:rsid w:val="00C46AD7"/>
    <w:rsid w:val="00C51F61"/>
    <w:rsid w:val="00C901D1"/>
    <w:rsid w:val="00CB0B4E"/>
    <w:rsid w:val="00CE29C4"/>
    <w:rsid w:val="00CE2AEA"/>
    <w:rsid w:val="00CE411A"/>
    <w:rsid w:val="00CE49D7"/>
    <w:rsid w:val="00D24563"/>
    <w:rsid w:val="00D4595F"/>
    <w:rsid w:val="00D47A04"/>
    <w:rsid w:val="00D617ED"/>
    <w:rsid w:val="00D7431A"/>
    <w:rsid w:val="00DC01A8"/>
    <w:rsid w:val="00DC2820"/>
    <w:rsid w:val="00E0056F"/>
    <w:rsid w:val="00E21053"/>
    <w:rsid w:val="00E5667F"/>
    <w:rsid w:val="00E80630"/>
    <w:rsid w:val="00E96CDD"/>
    <w:rsid w:val="00ED5C00"/>
    <w:rsid w:val="00EF0AA2"/>
    <w:rsid w:val="00EF70D7"/>
    <w:rsid w:val="00F429D3"/>
    <w:rsid w:val="00F442E4"/>
    <w:rsid w:val="00F47522"/>
    <w:rsid w:val="00F61407"/>
    <w:rsid w:val="00F77E4A"/>
    <w:rsid w:val="00FB00FD"/>
    <w:rsid w:val="00FB1344"/>
    <w:rsid w:val="00FE15B5"/>
    <w:rsid w:val="00FF4D98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A92C"/>
  <w15:chartTrackingRefBased/>
  <w15:docId w15:val="{AA128C54-9208-465E-A016-0A7F042F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33A1F"/>
    <w:pPr>
      <w:spacing w:after="200" w:line="240" w:lineRule="auto"/>
      <w:jc w:val="center"/>
    </w:pPr>
    <w:rPr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7A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46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B76BD-3BEB-4B72-8B4E-A9D778F1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Sheafor</dc:creator>
  <cp:keywords/>
  <dc:description/>
  <cp:lastModifiedBy>Steve Sheafor</cp:lastModifiedBy>
  <cp:revision>7</cp:revision>
  <dcterms:created xsi:type="dcterms:W3CDTF">2018-09-15T21:58:00Z</dcterms:created>
  <dcterms:modified xsi:type="dcterms:W3CDTF">2020-01-16T21:02:00Z</dcterms:modified>
</cp:coreProperties>
</file>