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RF tank:</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Only have odd harmonics in fourier domain</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Have to put resonance somewhere so put it on 2nd harmonic where there shouldn’t be any energy</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Sensing circuits:</w:t>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sz w:val="24"/>
          <w:szCs w:val="24"/>
          <w:rtl w:val="0"/>
        </w:rPr>
        <w:t xml:space="preserve">Talk about input/output. Could place in block diagram</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Possibly could run sim. Show bode plot, gain, show it matches calculations</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Corner, gain, bandwidth</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Cap divider to block DC offset caused by asymmetry from AC switching, minimal amount of current flowing into sense node. No DC power loss. Medtronic legacy design decision. Could use resistor. Theoretically no power loss in cap divider</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General:</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List design process of any/all sub module</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Show both PCBs instead of eval board in software slides (slide 28)</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Show we are ready for integration testing</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Show transitions of boards and our process/journey</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Describe module functions qualitatively rather than numerically</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Overlap of phase gives amplitude control, can leave 48V constant then use phase to control output of square wave</w:t>
      </w:r>
    </w:p>
    <w:p w:rsidR="00000000" w:rsidDel="00000000" w:rsidP="00000000" w:rsidRDefault="00000000" w:rsidRPr="00000000" w14:paraId="00000013">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