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9/14/2026</w:t>
            </w:r>
          </w:p>
        </w:tc>
        <w:tc>
          <w:tcPr>
            <w:tcW w:w="2338" w:type="dxa"/>
            <w:tcMar>
              <w:left w:w="115" w:type="dxa"/>
              <w:right w:w="115" w:type="dxa"/>
            </w:tcMar>
          </w:tcPr>
          <w:p w14:paraId="3389EEA3"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Steven Nguyen</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5767FDC7" w:rsidR="531DB269" w:rsidRDefault="531DB269" w:rsidP="000B05B1">
      <w:pPr>
        <w:suppressAutoHyphens/>
        <w:spacing w:after="0" w:line="240" w:lineRule="auto"/>
        <w:contextualSpacing/>
        <w:rPr>
          <w:rFonts w:cstheme="minorHAnsi"/>
          <w:color w:val="000000" w:themeColor="text1"/>
        </w:rPr>
      </w:pPr>
      <w:r>
        <w:t>Steven Nguyen</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pPr>
        <w:pStyle w:val="ListParagraph"/>
        <w:numPr>
          <w:ilvl w:val="0"/>
          <w:numId w:val="25"/>
        </w:numPr>
      </w:pPr>
      <w:r>
        <w:rPr>
          <w:rFonts w:cstheme="minorHAnsi"/>
          <w:color w:val="000000" w:themeColor="text1"/>
          <w:b/>
        </w:rPr>
        <w:t xml:space="preserve">Value of secure communications: </w:t>
      </w:r>
      <w:r>
        <w:rPr>
          <w:rFonts w:cstheme="minorHAnsi"/>
          <w:color w:val="000000" w:themeColor="text1"/>
        </w:rPr>
        <w:t>Artemis Financial builds individualized financial plans covering savings, retirement, investments, and insurance, which requires collecting and storing sensitive personally identifiable information (PII) and financial account data. Secure communications protect the confidentiality and integrity of this data as it moves between clients, Artemis Financial, and the RESTful API. A breach would damage client trust, create legal and regulatory liability, and undermine Global Rain's mission that “security is everyone's responsibility.”</w:t>
      </w:r>
    </w:p>
    <w:p>
      <w:pPr>
        <w:pStyle w:val="ListParagraph"/>
        <w:numPr>
          <w:ilvl w:val="0"/>
          <w:numId w:val="25"/>
        </w:numPr>
      </w:pPr>
      <w:r>
        <w:rPr>
          <w:rFonts w:cstheme="minorHAnsi"/>
          <w:color w:val="000000" w:themeColor="text1"/>
          <w:b/>
        </w:rPr>
        <w:t xml:space="preserve">International transactions: </w:t>
      </w:r>
      <w:r>
        <w:rPr>
          <w:rFonts w:cstheme="minorHAnsi"/>
          <w:color w:val="000000" w:themeColor="text1"/>
        </w:rPr>
        <w:t>Artemis Financial serves entrepreneurs, businesses, and government agencies around the world, so the application should be assumed to handle cross-border client data and potentially cross-border financial transactions. This raises the bar for encryption strength and key management, since data may cross networks and jurisdictions outside U.S. control.</w:t>
      </w:r>
    </w:p>
    <w:p>
      <w:pPr>
        <w:pStyle w:val="ListParagraph"/>
        <w:numPr>
          <w:ilvl w:val="0"/>
          <w:numId w:val="25"/>
        </w:numPr>
      </w:pPr>
      <w:r>
        <w:rPr>
          <w:rFonts w:cstheme="minorHAnsi"/>
          <w:color w:val="000000" w:themeColor="text1"/>
          <w:b/>
        </w:rPr>
        <w:t xml:space="preserve">Governmental restrictions: </w:t>
      </w:r>
      <w:r>
        <w:rPr>
          <w:rFonts w:cstheme="minorHAnsi"/>
          <w:color w:val="000000" w:themeColor="text1"/>
        </w:rPr>
        <w:t>Because the company may operate internationally, the application needs to account for data-protection and financial-privacy regulations such as the EU General Data Protection Regulation (GDPR) and U.S. financial-sector requirements like the Gramm-Leach-Bliley Act (GLBA), as well as export-control classifications that can apply to cryptographic software such as the Bouncy Castle library used in this code base.</w:t>
      </w:r>
    </w:p>
    <w:p>
      <w:pPr>
        <w:pStyle w:val="ListParagraph"/>
        <w:numPr>
          <w:ilvl w:val="0"/>
          <w:numId w:val="25"/>
        </w:numPr>
      </w:pPr>
      <w:r>
        <w:rPr>
          <w:rFonts w:cstheme="minorHAnsi"/>
          <w:color w:val="000000" w:themeColor="text1"/>
          <w:b/>
        </w:rPr>
        <w:t xml:space="preserve">External threats: </w:t>
      </w:r>
      <w:r>
        <w:rPr>
          <w:rFonts w:cstheme="minorHAnsi"/>
          <w:color w:val="000000" w:themeColor="text1"/>
        </w:rPr>
        <w:t>Because the API is web-facing, it is exposed to common external threats, including SQL injection, unauthorized access to customer records, interception of unencrypted traffic, injection of malicious input through unvalidated parameters, and exploitation of known vulnerabilities in outdated open-source components.</w:t>
      </w:r>
    </w:p>
    <w:p>
      <w:pPr>
        <w:pStyle w:val="ListParagraph"/>
        <w:numPr>
          <w:ilvl w:val="0"/>
          <w:numId w:val="25"/>
        </w:numPr>
      </w:pPr>
      <w:r>
        <w:rPr>
          <w:rFonts w:cstheme="minorHAnsi"/>
          <w:color w:val="000000" w:themeColor="text1"/>
          <w:b/>
        </w:rPr>
        <w:t xml:space="preserve">Modernization requirements: </w:t>
      </w:r>
      <w:r>
        <w:rPr>
          <w:rFonts w:cstheme="minorHAnsi"/>
          <w:color w:val="000000" w:themeColor="text1"/>
        </w:rPr>
        <w:t>The application depends on open-source libraries (the Bouncy Castle cryptography provider and the Spring Boot framework) that must be kept current, since older versions accumulate publicly disclosed vulnerabilities over time. Web application security standards (TLS versions, REST API security practices) also evolve, so Artemis Financial needs an ongoing update and patch-management process rather than a one-time fix.</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r>
        <w:rPr>
          <w:rFonts w:cstheme="minorHAnsi"/>
          <w:color w:val="000000" w:themeColor="text1"/>
        </w:rPr>
        <w:t>Per the vulnerability assessment process flow diagram in the Supporting Materials, the flow moves through Architecture Review, Input Validation, APIs, Cryptography, Client/Server, Code Error, Code Quality, and Encapsulation, followed by a Code Review stage covering seven parallel sub-areas (Views, Models, Controllers, Data Access, Services, Plug-Ins, and APIs). The areas below are the ones from that diagram that apply to Artemis Financial's rest-service application, matched against the actual code and configuration reviewed for this report.</w:t>
      </w:r>
    </w:p>
    <w:p>
      <w:pPr>
        <w:pStyle w:val="ListParagraph"/>
        <w:numPr>
          <w:ilvl w:val="0"/>
          <w:numId w:val="25"/>
        </w:numPr>
      </w:pPr>
      <w:r>
        <w:rPr>
          <w:rFonts w:cstheme="minorHAnsi"/>
          <w:color w:val="000000" w:themeColor="text1"/>
          <w:b/>
        </w:rPr>
        <w:t xml:space="preserve">Input Validation (Secure Input and Representations): </w:t>
      </w:r>
      <w:r>
        <w:rPr>
          <w:rFonts w:cstheme="minorHAnsi"/>
          <w:color w:val="000000" w:themeColor="text1"/>
        </w:rPr>
        <w:t>CRUDController.java accepts a business_name request parameter with no validation on its length, format, or content, and DocData.read_document() accepts a key/value pair with no validation before use in a database call. This area is directly relevant because unvalidated input is the root cause of the SQL injection and REST parameter risks found in Manual Review.</w:t>
      </w:r>
    </w:p>
    <w:p>
      <w:pPr>
        <w:pStyle w:val="ListParagraph"/>
        <w:numPr>
          <w:ilvl w:val="0"/>
          <w:numId w:val="25"/>
        </w:numPr>
      </w:pPr>
      <w:r>
        <w:rPr>
          <w:rFonts w:cstheme="minorHAnsi"/>
          <w:color w:val="000000" w:themeColor="text1"/>
          <w:b/>
        </w:rPr>
        <w:t xml:space="preserve">APIs (Secure API Interactions): </w:t>
      </w:r>
      <w:r>
        <w:rPr>
          <w:rFonts w:cstheme="minorHAnsi"/>
          <w:color w:val="000000" w:themeColor="text1"/>
        </w:rPr>
        <w:t>The application exposes two REST endpoints, /read and /greeting, neither of which requires authentication or authorization. This area applies because Artemis Financial's RESTful API is the system's external attack surface — anyone who can reach the API can call either endpoint with no credentials.</w:t>
      </w:r>
    </w:p>
    <w:p>
      <w:pPr>
        <w:pStyle w:val="ListParagraph"/>
        <w:numPr>
          <w:ilvl w:val="0"/>
          <w:numId w:val="25"/>
        </w:numPr>
      </w:pPr>
      <w:r>
        <w:rPr>
          <w:rFonts w:cstheme="minorHAnsi"/>
          <w:color w:val="000000" w:themeColor="text1"/>
          <w:b/>
        </w:rPr>
        <w:t xml:space="preserve">Cryptography (Encryption Use and Vulnerabilities): </w:t>
      </w:r>
      <w:r>
        <w:rPr>
          <w:rFonts w:cstheme="minorHAnsi"/>
          <w:color w:val="000000" w:themeColor="text1"/>
        </w:rPr>
        <w:t>The project depends directly on bcprov-jdk15on 1.46, an outdated Bouncy Castle release with four confirmed CVEs (see Static Testing), and application.properties has no TLS/HTTPS configuration. This area is central given that Artemis Financial's core business is protecting clients' financial data.</w:t>
      </w:r>
    </w:p>
    <w:p>
      <w:pPr>
        <w:pStyle w:val="ListParagraph"/>
        <w:numPr>
          <w:ilvl w:val="0"/>
          <w:numId w:val="25"/>
        </w:numPr>
      </w:pPr>
      <w:r>
        <w:rPr>
          <w:rFonts w:cstheme="minorHAnsi"/>
          <w:color w:val="000000" w:themeColor="text1"/>
          <w:b/>
        </w:rPr>
        <w:t xml:space="preserve">Client/Server (Secure Distributed Computing): </w:t>
      </w:r>
      <w:r>
        <w:rPr>
          <w:rFonts w:cstheme="minorHAnsi"/>
          <w:color w:val="000000" w:themeColor="text1"/>
        </w:rPr>
        <w:t>The REST endpoints in CRUDController.java and GreetingController.java return data to any client that calls them, with no server-side enforcement of who the client is or what they're authorized to receive, which makes the client/server boundary itself a relevant area of risk.</w:t>
      </w:r>
    </w:p>
    <w:p>
      <w:pPr>
        <w:pStyle w:val="ListParagraph"/>
        <w:numPr>
          <w:ilvl w:val="0"/>
          <w:numId w:val="25"/>
        </w:numPr>
      </w:pPr>
      <w:r>
        <w:rPr>
          <w:rFonts w:cstheme="minorHAnsi"/>
          <w:color w:val="000000" w:themeColor="text1"/>
          <w:b/>
        </w:rPr>
        <w:t xml:space="preserve">Code Error (Secure Code Handling): </w:t>
      </w:r>
      <w:r>
        <w:rPr>
          <w:rFonts w:cstheme="minorHAnsi"/>
          <w:color w:val="000000" w:themeColor="text1"/>
        </w:rPr>
        <w:t>DocData.read_document() catches SQLException and calls e.printStackTrace(), which can expose internal implementation details (connection strings, driver info) instead of handling the error securely.</w:t>
      </w:r>
    </w:p>
    <w:p>
      <w:pPr>
        <w:pStyle w:val="ListParagraph"/>
        <w:numPr>
          <w:ilvl w:val="0"/>
          <w:numId w:val="25"/>
        </w:numPr>
      </w:pPr>
      <w:r>
        <w:rPr>
          <w:rFonts w:cstheme="minorHAnsi"/>
          <w:color w:val="000000" w:themeColor="text1"/>
          <w:b/>
        </w:rPr>
        <w:t xml:space="preserve">Code Quality (Secure Coding Practices/Patterns): </w:t>
      </w:r>
      <w:r>
        <w:rPr>
          <w:rFonts w:cstheme="minorHAnsi"/>
          <w:color w:val="000000" w:themeColor="text1"/>
        </w:rPr>
        <w:t>DocData.java hard-codes database credentials (root/root) directly in source, and customer.java performs no bounds checking in deposit(). Both are coding-pattern issues rather than design-level flaws, which is why this area applies separately from Code Error.</w:t>
      </w:r>
    </w:p>
    <w:p>
      <w:pPr>
        <w:pStyle w:val="ListParagraph"/>
        <w:numPr>
          <w:ilvl w:val="0"/>
          <w:numId w:val="25"/>
        </w:numPr>
      </w:pPr>
      <w:r>
        <w:rPr>
          <w:rFonts w:cstheme="minorHAnsi"/>
          <w:color w:val="000000" w:themeColor="text1"/>
          <w:b/>
        </w:rPr>
        <w:t xml:space="preserve">Encapsulation (Secure Data Structures): </w:t>
      </w:r>
      <w:r>
        <w:rPr>
          <w:rFonts w:cstheme="minorHAnsi"/>
          <w:color w:val="000000" w:themeColor="text1"/>
        </w:rPr>
        <w:t>customer.java declares account_balance and account_number without private access modifiers and provides no validated accessor methods, so any class in the package can read or modify a customer's financial balance directly. This is the clearest encapsulation failure in the code base.</w:t>
      </w:r>
    </w:p>
    <w:p>
      <w:pPr>
        <w:pStyle w:val="ListParagraph"/>
        <w:numPr>
          <w:ilvl w:val="0"/>
          <w:numId w:val="25"/>
        </w:numPr>
      </w:pPr>
      <w:r>
        <w:rPr>
          <w:rFonts w:cstheme="minorHAnsi"/>
          <w:color w:val="000000" w:themeColor="text1"/>
          <w:b/>
        </w:rPr>
        <w:t xml:space="preserve">Code Review — Data Access and APIs (relevant sub-areas from the seven parallel Code Review boxes): </w:t>
      </w:r>
      <w:r>
        <w:rPr>
          <w:rFonts w:cstheme="minorHAnsi"/>
          <w:color w:val="000000" w:themeColor="text1"/>
        </w:rPr>
        <w:t>Of the seven Code Review sub-areas in the diagram (Views, Models, Controllers, Data Access, Services, Plug-Ins, APIs), Data Access and APIs are the two that apply here: DocData.java is the project's only data-access class, and CRUDController.java/GreetingController.java are its only API controllers. The project has no view templates, service layer, or plug-in architecture, so those sub-areas do not apply to this application.</w:t>
      </w:r>
    </w:p>
    <w:p>
      <w:pPr>
        <w:pStyle w:val="ListParagraph"/>
        <w:numPr>
          <w:ilvl w:val="0"/>
          <w:numId w:val="25"/>
        </w:numPr>
      </w:pPr>
      <w:r>
        <w:rPr>
          <w:rFonts w:cstheme="minorHAnsi"/>
          <w:color w:val="000000" w:themeColor="text1"/>
          <w:b/>
        </w:rPr>
        <w:t xml:space="preserve">Architecture Review: </w:t>
      </w:r>
      <w:r>
        <w:rPr>
          <w:rFonts w:cstheme="minorHAnsi"/>
          <w:color w:val="000000" w:themeColor="text1"/>
        </w:rPr>
        <w:t>This is a minimal Spring Boot REST service with no service layer, no authentication layer, and no encryption configuration between the client and the data-access code, which is itself the finding — the architecture has no security layer built in yet for a system that will handle financial client data.</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pPr>
        <w:pStyle w:val="ListParagraph"/>
        <w:numPr>
          <w:ilvl w:val="0"/>
          <w:numId w:val="25"/>
        </w:numPr>
      </w:pPr>
      <w:r>
        <w:rPr>
          <w:rFonts w:cstheme="minorHAnsi"/>
          <w:color w:val="000000" w:themeColor="text1"/>
          <w:b/>
        </w:rPr>
        <w:t xml:space="preserve">Finding 1 – Hard-coded database credentials (DocData.java): </w:t>
      </w:r>
      <w:r>
        <w:rPr>
          <w:rFonts w:cstheme="minorHAnsi"/>
          <w:color w:val="000000" w:themeColor="text1"/>
        </w:rPr>
        <w:t>read_document() connects to MySQL with DriverManager.getConnection("jdbc:mysql://localhost:3306/test", "root", "root"). Hard-coded, default credentials are trivially discoverable in source control and provide full database access to anyone who obtains the code (CWE-798: Use of Hard-coded Credentials).</w:t>
      </w:r>
    </w:p>
    <w:p>
      <w:pPr>
        <w:pStyle w:val="ListParagraph"/>
        <w:numPr>
          <w:ilvl w:val="0"/>
          <w:numId w:val="25"/>
        </w:numPr>
      </w:pPr>
      <w:r>
        <w:rPr>
          <w:rFonts w:cstheme="minorHAnsi"/>
          <w:color w:val="000000" w:themeColor="text1"/>
          <w:b/>
        </w:rPr>
        <w:t xml:space="preserve">Finding 2 – SQL Injection exposure (DocData.java): </w:t>
      </w:r>
      <w:r>
        <w:rPr>
          <w:rFonts w:cstheme="minorHAnsi"/>
          <w:color w:val="000000" w:themeColor="text1"/>
        </w:rPr>
        <w:t>read_document(String key, String value) takes external input but the method does not use a PreparedStatement or any parameterized query, and no query text is validated or escaped, leaving the database access pattern open to SQL injection once the method is completed (CWE-89: SQL Injection).</w:t>
      </w:r>
    </w:p>
    <w:p>
      <w:pPr>
        <w:pStyle w:val="ListParagraph"/>
        <w:numPr>
          <w:ilvl w:val="0"/>
          <w:numId w:val="25"/>
        </w:numPr>
      </w:pPr>
      <w:r>
        <w:rPr>
          <w:rFonts w:cstheme="minorHAnsi"/>
          <w:color w:val="000000" w:themeColor="text1"/>
          <w:b/>
        </w:rPr>
        <w:t xml:space="preserve">Finding 3 – Verbose error handling / information exposure (DocData.java): </w:t>
      </w:r>
      <w:r>
        <w:rPr>
          <w:rFonts w:cstheme="minorHAnsi"/>
          <w:color w:val="000000" w:themeColor="text1"/>
        </w:rPr>
        <w:t>The catch block for SQLException calls e.printStackTrace(), which prints internal implementation details (driver name, connection string, file paths) that an attacker could use for reconnaissance (CWE-209: Generation of Error Message Containing Sensitive Information).</w:t>
      </w:r>
    </w:p>
    <w:p>
      <w:pPr>
        <w:pStyle w:val="ListParagraph"/>
        <w:numPr>
          <w:ilvl w:val="0"/>
          <w:numId w:val="25"/>
        </w:numPr>
      </w:pPr>
      <w:r>
        <w:rPr>
          <w:rFonts w:cstheme="minorHAnsi"/>
          <w:color w:val="000000" w:themeColor="text1"/>
          <w:b/>
        </w:rPr>
        <w:t xml:space="preserve">Finding 4 – Missing input validation on REST endpoint (CRUDController.java): </w:t>
      </w:r>
      <w:r>
        <w:rPr>
          <w:rFonts w:cstheme="minorHAnsi"/>
          <w:color w:val="000000" w:themeColor="text1"/>
        </w:rPr>
        <w:t>The /read endpoint accepts a business_name request parameter but never validates its length, format, or content before using it, and the parameter is not even used in the CRUD object that is returned, indicating incomplete and unvalidated request handling (CWE-20: Improper Input Validation).</w:t>
      </w:r>
    </w:p>
    <w:p>
      <w:pPr>
        <w:pStyle w:val="ListParagraph"/>
        <w:numPr>
          <w:ilvl w:val="0"/>
          <w:numId w:val="25"/>
        </w:numPr>
      </w:pPr>
      <w:r>
        <w:rPr>
          <w:rFonts w:cstheme="minorHAnsi"/>
          <w:color w:val="000000" w:themeColor="text1"/>
          <w:b/>
        </w:rPr>
        <w:t xml:space="preserve">Finding 5 – Unauthenticated REST endpoints (CRUDController.java, GreetingController.java): </w:t>
      </w:r>
      <w:r>
        <w:rPr>
          <w:rFonts w:cstheme="minorHAnsi"/>
          <w:color w:val="000000" w:themeColor="text1"/>
        </w:rPr>
        <w:t>Neither /read nor /greeting requires any form of authentication or authorization before returning data, so any external caller can invoke them (CWE-306: Missing Authentication for Critical Function).</w:t>
      </w:r>
    </w:p>
    <w:p>
      <w:pPr>
        <w:pStyle w:val="ListParagraph"/>
        <w:numPr>
          <w:ilvl w:val="0"/>
          <w:numId w:val="25"/>
        </w:numPr>
      </w:pPr>
      <w:r>
        <w:rPr>
          <w:rFonts w:cstheme="minorHAnsi"/>
          <w:color w:val="000000" w:themeColor="text1"/>
          <w:b/>
        </w:rPr>
        <w:t xml:space="preserve">Finding 6 – Reflected, unsanitized user input (GreetingController.java): </w:t>
      </w:r>
      <w:r>
        <w:rPr>
          <w:rFonts w:cstheme="minorHAnsi"/>
          <w:color w:val="000000" w:themeColor="text1"/>
        </w:rPr>
        <w:t>The name request parameter is inserted directly into the response via String.format(template, name) with no encoding or sanitization. If this value is ever rendered in an HTML context, it could enable cross-site scripting (CWE-79: Improper Neutralization of Input During Web Page Generation).</w:t>
      </w:r>
    </w:p>
    <w:p>
      <w:pPr>
        <w:pStyle w:val="ListParagraph"/>
        <w:numPr>
          <w:ilvl w:val="0"/>
          <w:numId w:val="25"/>
        </w:numPr>
      </w:pPr>
      <w:r>
        <w:rPr>
          <w:rFonts w:cstheme="minorHAnsi"/>
          <w:color w:val="000000" w:themeColor="text1"/>
          <w:b/>
        </w:rPr>
        <w:t xml:space="preserve">Finding 7 – Improper encapsulation of sensitive fields (customer.java): </w:t>
      </w:r>
      <w:r>
        <w:rPr>
          <w:rFonts w:cstheme="minorHAnsi"/>
          <w:color w:val="000000" w:themeColor="text1"/>
        </w:rPr>
        <w:t>account_balance is declared with default (package-private) access instead of private, and there is no getter/setter enforcing validation, so any class in the package can read or modify a customer's balance directly (CWE-668: Exposure of Resource to Wrong Sphere).</w:t>
      </w:r>
    </w:p>
    <w:p>
      <w:pPr>
        <w:pStyle w:val="ListParagraph"/>
        <w:numPr>
          <w:ilvl w:val="0"/>
          <w:numId w:val="25"/>
        </w:numPr>
      </w:pPr>
      <w:r>
        <w:rPr>
          <w:rFonts w:cstheme="minorHAnsi"/>
          <w:color w:val="000000" w:themeColor="text1"/>
          <w:b/>
        </w:rPr>
        <w:t xml:space="preserve">Finding 8 – No input validation on financial data (customer.java): </w:t>
      </w:r>
      <w:r>
        <w:rPr>
          <w:rFonts w:cstheme="minorHAnsi"/>
          <w:color w:val="000000" w:themeColor="text1"/>
        </w:rPr>
        <w:t>deposit(int a) adds the parameter directly to account_balance with no check for negative values or overflow, so a caller could pass a negative number to reduce a balance, or a very large number to overflow the int (CWE-190: Integer Overflow or Wraparound).</w:t>
      </w:r>
    </w:p>
    <w:p>
      <w:pPr>
        <w:pStyle w:val="ListParagraph"/>
        <w:numPr>
          <w:ilvl w:val="0"/>
          <w:numId w:val="25"/>
        </w:numPr>
      </w:pPr>
      <w:r>
        <w:rPr>
          <w:rFonts w:cstheme="minorHAnsi"/>
          <w:color w:val="000000" w:themeColor="text1"/>
          <w:b/>
        </w:rPr>
        <w:t xml:space="preserve">Finding 9 – Missing HTTPS/TLS enforcement (application.properties): </w:t>
      </w:r>
      <w:r>
        <w:rPr>
          <w:rFonts w:cstheme="minorHAnsi"/>
          <w:color w:val="000000" w:themeColor="text1"/>
        </w:rPr>
        <w:t>The configuration sets a server port (8081) and multipart file-upload settings but includes no server.ssl.* configuration, meaning the service can run over plain HTTP by default and financial data could be transmitted unencrypted (CWE-319: Cleartext Transmission of Sensitive Information).</w:t>
      </w:r>
    </w:p>
    <w:p>
      <w:pPr>
        <w:pStyle w:val="ListParagraph"/>
        <w:numPr>
          <w:ilvl w:val="0"/>
          <w:numId w:val="25"/>
        </w:numPr>
      </w:pPr>
      <w:r>
        <w:rPr>
          <w:rFonts w:cstheme="minorHAnsi"/>
          <w:color w:val="000000" w:themeColor="text1"/>
          <w:b/>
        </w:rPr>
        <w:t xml:space="preserve">Finding 10 – Outdated cryptography and framework dependencies (pom.xml): </w:t>
      </w:r>
      <w:r>
        <w:rPr>
          <w:rFonts w:cstheme="minorHAnsi"/>
          <w:color w:val="000000" w:themeColor="text1"/>
        </w:rPr>
        <w:t>The project pins bcprov-jdk15on to version 1.46 (released 2012) and spring-boot-starter-parent to 2.2.4.RELEASE, both long superseded by security patches. Continuing to build on these fixed, outdated versions carries forward all vulnerabilities patched since their release (CWE-1104: Use of Unmaintained Third-Party Components; see Static Testing for specific CVEs).</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r>
        <w:rPr>
          <w:rFonts w:cstheme="minorHAnsi"/>
          <w:color w:val="000000" w:themeColor="text1"/>
        </w:rPr>
        <w:t>The OWASP dependency-check Maven plugin (v10.0.4) was run directly against the rest-service project on 09/09/2026 and generated dependency-check-report.html. The report confirms bcprov-jdk15on 1.46 (org.bouncycastle), a direct dependency in pom.xml, is flagged HIGH severity with four confirmed CVEs, detailed below with the exact CWE classifications and CVSS scores from the generated report:</w:t>
      </w:r>
    </w:p>
    <w:p>
      <w:pPr>
        <w:pStyle w:val="ListParagraph"/>
        <w:numPr>
          <w:ilvl w:val="0"/>
          <w:numId w:val="25"/>
        </w:numPr>
      </w:pPr>
      <w:r>
        <w:rPr>
          <w:rFonts w:cstheme="minorHAnsi"/>
          <w:color w:val="000000" w:themeColor="text1"/>
        </w:rPr>
        <w:t>Vulnerable component: bcprov-jdk15on-1.46.jar (pkg:maven/org.bouncycastle/bcprov-jdk15on@1.46), referenced directly in the rest-service project (compile scope). Overall severity: HIGH.</w:t>
      </w:r>
    </w:p>
    <w:p>
      <w:pPr>
        <w:pStyle w:val="ListParagraph"/>
        <w:numPr>
          <w:ilvl w:val="0"/>
          <w:numId w:val="25"/>
        </w:numPr>
      </w:pPr>
      <w:r>
        <w:rPr>
          <w:rFonts w:cstheme="minorHAnsi"/>
          <w:color w:val="000000" w:themeColor="text1"/>
          <w:b/>
        </w:rPr>
        <w:t xml:space="preserve">CVE-2016-1000338 — CWE-347, Improper Verification of Cryptographic Signature (CVSSv3 7.5, HIGH): </w:t>
      </w:r>
      <w:r>
        <w:rPr>
          <w:rFonts w:cstheme="minorHAnsi"/>
          <w:color w:val="000000" w:themeColor="text1"/>
        </w:rPr>
        <w:t>In Bouncy Castle JCE Provider 1.55 and earlier, DSA signatures are not fully validated against their ASN.1 encoding at verification time, which can let extra elements be injected into a signed structure while it still passes validation.</w:t>
      </w:r>
    </w:p>
    <w:p>
      <w:pPr>
        <w:pStyle w:val="ListParagraph"/>
        <w:numPr>
          <w:ilvl w:val="0"/>
          <w:numId w:val="25"/>
        </w:numPr>
      </w:pPr>
      <w:r>
        <w:rPr>
          <w:rFonts w:cstheme="minorHAnsi"/>
          <w:color w:val="000000" w:themeColor="text1"/>
          <w:b/>
        </w:rPr>
        <w:t xml:space="preserve">CVE-2020-15522 — CWE-362, Race Condition (CVSSv3 5.9, MEDIUM): </w:t>
      </w:r>
      <w:r>
        <w:rPr>
          <w:rFonts w:cstheme="minorHAnsi"/>
          <w:color w:val="000000" w:themeColor="text1"/>
        </w:rPr>
        <w:t>Versions of BC Java before 1.66 have a timing issue in the EC math library that can leak information about a private key to an attacker who can observe timing during generation of multiple deterministic ECDSA signatures.</w:t>
      </w:r>
    </w:p>
    <w:p>
      <w:pPr>
        <w:pStyle w:val="ListParagraph"/>
        <w:numPr>
          <w:ilvl w:val="0"/>
          <w:numId w:val="25"/>
        </w:numPr>
      </w:pPr>
      <w:r>
        <w:rPr>
          <w:rFonts w:cstheme="minorHAnsi"/>
          <w:color w:val="000000" w:themeColor="text1"/>
          <w:b/>
        </w:rPr>
        <w:t xml:space="preserve">CVE-2023-33202 — CWE-400, Uncontrolled Resource Consumption (CVSSv3 5.5, MEDIUM): </w:t>
      </w:r>
      <w:r>
        <w:rPr>
          <w:rFonts w:cstheme="minorHAnsi"/>
          <w:color w:val="000000" w:themeColor="text1"/>
        </w:rPr>
        <w:t>Bouncy Castle for Java before 1.73 has a Denial of Service issue in org.bouncycastle.openssl.PEMParser: parsing a PEM-encoded stream with crafted ASN.1 data triggers an OutOfMemoryError, which can crash the application.</w:t>
      </w:r>
    </w:p>
    <w:p>
      <w:pPr>
        <w:pStyle w:val="ListParagraph"/>
        <w:numPr>
          <w:ilvl w:val="0"/>
          <w:numId w:val="25"/>
        </w:numPr>
      </w:pPr>
      <w:r>
        <w:rPr>
          <w:rFonts w:cstheme="minorHAnsi"/>
          <w:color w:val="000000" w:themeColor="text1"/>
          <w:b/>
        </w:rPr>
        <w:t xml:space="preserve">CVE-2015-7940 — CWE-200 / CWE-310, Information Exposure / Cryptographic Issues (CVSSv2 5.0, MEDIUM): </w:t>
      </w:r>
      <w:r>
        <w:rPr>
          <w:rFonts w:cstheme="minorHAnsi"/>
          <w:color w:val="000000" w:themeColor="text1"/>
        </w:rPr>
        <w:t>The Bouncy Castle Java library before 1.51 does not validate that a point lies within the elliptic curve during ECDH exchanges, making it easier for a remote attacker to recover a private key through a series of crafted ECDH key exchanges (an “invalid curve attack”).</w:t>
      </w:r>
    </w:p>
    <w:p>
      <w:pPr>
        <w:pStyle w:val="ListParagraph"/>
        <w:numPr>
          <w:ilvl w:val="0"/>
          <w:numId w:val="25"/>
        </w:numPr>
      </w:pPr>
      <w:r>
        <w:rPr>
          <w:rFonts w:cstheme="minorHAnsi"/>
          <w:color w:val="000000" w:themeColor="text1"/>
        </w:rPr>
        <w:t>Recommended solution: Upgrade org.bouncycastle:bcprov-jdk15on in pom.xml to a current, supported release. The fixes for these four CVEs landed across versions 1.51, 1.56, 1.66, and 1.73 respectively, so moving to the latest stable release resolves all four at once. Re-run dependency-check afterward to confirm none of the four IDs still appear against the updated jar.</w:t>
      </w:r>
    </w:p>
    <w:p>
      <w:pPr>
        <w:pStyle w:val="ListParagraph"/>
        <w:numPr>
          <w:ilvl w:val="0"/>
          <w:numId w:val="25"/>
        </w:numPr>
      </w:pPr>
      <w:r>
        <w:rPr>
          <w:rFonts w:cstheme="minorHAnsi"/>
          <w:color w:val="000000" w:themeColor="text1"/>
        </w:rPr>
        <w:t>Attribution: All four CVEs are tracked in the National Vulnerability Database (nvd.nist.gov) and were surfaced by dependency-check's NVD CVE Analyzer against the exact jar hash in this project (SHA-1 991c96a4e31e6c19e2b9136c8955bd423f2dc4c7). Each is also documented on the Bouncy Castle project's own bc-java GitHub wiki (one page per CVE) and referenced in Red Hat, NetApp, Ubuntu, and Oracle security advisories, which the generated report links directly.</w:t>
      </w:r>
    </w:p>
    <w:p>
      <w:pPr>
        <w:pStyle w:val="ListParagraph"/>
        <w:numPr>
          <w:ilvl w:val="0"/>
          <w:numId w:val="25"/>
        </w:numPr>
      </w:pPr>
      <w:r>
        <w:t>Note — full scan summary: The generated report's own summary panel shows the scan covered 38 dependencies (23 unique), of which 13 were flagged as vulnerable, totaling 281 individual vulnerabilities across the project. bcprov-jdk15on is the only direct dependency flagged; the remaining 12 are transitive dependencies pulled in through the spring-boot-starter-parent 2.2.4.RELEASE version pinned in pom.xml. Several of these scored higher than bcprov-jdk15on's HIGH rating: snakeyaml-1.25, spring-boot-2.2.4.RELEASE, spring-boot-starter-web-2.2.4.RELEASE, spring-core-5.2.3.RELEASE, spring-web-5.2.3.RELEASE, spring-webmvc-5.2.3.RELEASE, and both tomcat-embed-core-9.0.30 and tomcat-embed-websocket-9.0.30 are rated CRITICAL, several marked with an asterisk indicating a known exploited vulnerability (an actively-used-in-the-wild CVE, not just a theoretical one) — tomcat-embed-core alone carries 76 CVEs. Since all of these trace back to the single outdated spring-boot-starter-parent version, upgrading that one dependency (along with bcprov-jdk15on) and re-scanning would resolve the large majority of the 281 flagged vulnerabilities at once.</w:t>
      </w: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pPr>
        <w:pStyle w:val="ListParagraph"/>
        <w:numPr>
          <w:ilvl w:val="0"/>
          <w:numId w:val="25"/>
        </w:numPr>
      </w:pPr>
      <w:r>
        <w:rPr>
          <w:rFonts w:cstheme="minorHAnsi"/>
          <w:color w:val="000000" w:themeColor="text1"/>
          <w:b/>
        </w:rPr>
        <w:t xml:space="preserve">Replace hard-coded database credentials: </w:t>
      </w:r>
      <w:r>
        <w:rPr>
          <w:rFonts w:cstheme="minorHAnsi"/>
          <w:color w:val="000000" w:themeColor="text1"/>
        </w:rPr>
        <w:t>Move the database connection string, username, and password out of DocData.java and into environment variables or a managed secrets store (e.g., a vault service or encrypted configuration), and create a dedicated, least-privilege database account instead of using root.</w:t>
      </w:r>
    </w:p>
    <w:p>
      <w:pPr>
        <w:pStyle w:val="ListParagraph"/>
        <w:numPr>
          <w:ilvl w:val="0"/>
          <w:numId w:val="25"/>
        </w:numPr>
      </w:pPr>
      <w:r>
        <w:rPr>
          <w:rFonts w:cstheme="minorHAnsi"/>
          <w:color w:val="000000" w:themeColor="text1"/>
          <w:b/>
        </w:rPr>
        <w:t xml:space="preserve">Eliminate SQL injection risk: </w:t>
      </w:r>
      <w:r>
        <w:rPr>
          <w:rFonts w:cstheme="minorHAnsi"/>
          <w:color w:val="000000" w:themeColor="text1"/>
        </w:rPr>
        <w:t>Rewrite DocData.read_document() (and any future data-access code) to use PreparedStatement with bound parameters instead of building or accepting raw query input, and add server-side input validation on all REST parameters such as business_name and name.</w:t>
      </w:r>
    </w:p>
    <w:p>
      <w:pPr>
        <w:pStyle w:val="ListParagraph"/>
        <w:numPr>
          <w:ilvl w:val="0"/>
          <w:numId w:val="25"/>
        </w:numPr>
      </w:pPr>
      <w:r>
        <w:rPr>
          <w:rFonts w:cstheme="minorHAnsi"/>
          <w:color w:val="000000" w:themeColor="text1"/>
          <w:b/>
        </w:rPr>
        <w:t xml:space="preserve">Stop leaking error detail: </w:t>
      </w:r>
      <w:r>
        <w:rPr>
          <w:rFonts w:cstheme="minorHAnsi"/>
          <w:color w:val="000000" w:themeColor="text1"/>
        </w:rPr>
        <w:t>Replace e.printStackTrace() with proper logging (e.g., SLF4J/Logback) that records details server-side only, and return generic, non-descriptive error messages to API callers.</w:t>
      </w:r>
    </w:p>
    <w:p>
      <w:pPr>
        <w:pStyle w:val="ListParagraph"/>
        <w:numPr>
          <w:ilvl w:val="0"/>
          <w:numId w:val="25"/>
        </w:numPr>
      </w:pPr>
      <w:r>
        <w:rPr>
          <w:rFonts w:cstheme="minorHAnsi"/>
          <w:color w:val="000000" w:themeColor="text1"/>
          <w:b/>
        </w:rPr>
        <w:t xml:space="preserve">Add authentication and authorization: </w:t>
      </w:r>
      <w:r>
        <w:rPr>
          <w:rFonts w:cstheme="minorHAnsi"/>
          <w:color w:val="000000" w:themeColor="text1"/>
        </w:rPr>
        <w:t>Require authentication (e.g., OAuth2/JWT via Spring Security) on all REST endpoints, including /read and /greeting, and enforce access control so users can only reach data they are authorized to see.</w:t>
      </w:r>
    </w:p>
    <w:p>
      <w:pPr>
        <w:pStyle w:val="ListParagraph"/>
        <w:numPr>
          <w:ilvl w:val="0"/>
          <w:numId w:val="25"/>
        </w:numPr>
      </w:pPr>
      <w:r>
        <w:rPr>
          <w:rFonts w:cstheme="minorHAnsi"/>
          <w:color w:val="000000" w:themeColor="text1"/>
          <w:b/>
        </w:rPr>
        <w:t xml:space="preserve">Sanitize and encode user-supplied output: </w:t>
      </w:r>
      <w:r>
        <w:rPr>
          <w:rFonts w:cstheme="minorHAnsi"/>
          <w:color w:val="000000" w:themeColor="text1"/>
        </w:rPr>
        <w:t>Ensure any user-supplied value that could be reflected back to a browser (such as the name parameter in GreetingController) is properly encoded for its output context to prevent cross-site scripting.</w:t>
      </w:r>
    </w:p>
    <w:p>
      <w:pPr>
        <w:pStyle w:val="ListParagraph"/>
        <w:numPr>
          <w:ilvl w:val="0"/>
          <w:numId w:val="25"/>
        </w:numPr>
      </w:pPr>
      <w:r>
        <w:rPr>
          <w:rFonts w:cstheme="minorHAnsi"/>
          <w:color w:val="000000" w:themeColor="text1"/>
          <w:b/>
        </w:rPr>
        <w:t xml:space="preserve">Fix data encapsulation and validation in customer.java: </w:t>
      </w:r>
      <w:r>
        <w:rPr>
          <w:rFonts w:cstheme="minorHAnsi"/>
          <w:color w:val="000000" w:themeColor="text1"/>
        </w:rPr>
        <w:t>Make account_balance and account_number private, add validated getters/setters, and reject negative or unreasonably large values in deposit() to prevent overflow and unauthorized balance manipulation.</w:t>
      </w:r>
    </w:p>
    <w:p>
      <w:pPr>
        <w:pStyle w:val="ListParagraph"/>
        <w:numPr>
          <w:ilvl w:val="0"/>
          <w:numId w:val="25"/>
        </w:numPr>
      </w:pPr>
      <w:r>
        <w:rPr>
          <w:rFonts w:cstheme="minorHAnsi"/>
          <w:color w:val="000000" w:themeColor="text1"/>
          <w:b/>
        </w:rPr>
        <w:t xml:space="preserve">Enforce HTTPS/TLS: </w:t>
      </w:r>
      <w:r>
        <w:rPr>
          <w:rFonts w:cstheme="minorHAnsi"/>
          <w:color w:val="000000" w:themeColor="text1"/>
        </w:rPr>
        <w:t>Configure server.ssl.* properties (or terminate TLS at a load balancer/reverse proxy) so the API only accepts encrypted connections, and redirect or reject plain HTTP requests.</w:t>
      </w:r>
    </w:p>
    <w:p>
      <w:pPr>
        <w:pStyle w:val="ListParagraph"/>
        <w:numPr>
          <w:ilvl w:val="0"/>
          <w:numId w:val="25"/>
        </w:numPr>
      </w:pPr>
      <w:r>
        <w:rPr>
          <w:rFonts w:cstheme="minorHAnsi"/>
          <w:color w:val="000000" w:themeColor="text1"/>
          <w:b/>
        </w:rPr>
        <w:t xml:space="preserve">Upgrade vulnerable dependencies: </w:t>
      </w:r>
      <w:r>
        <w:rPr>
          <w:rFonts w:cstheme="minorHAnsi"/>
          <w:color w:val="000000" w:themeColor="text1"/>
        </w:rPr>
        <w:t>Update org.bouncycastle:bcprov-jdk15on to a current supported version and update the Spring Boot parent version, then re-run the OWASP dependency-check scan to confirm the previously identified CVEs are resolved; add dependency-check (or an equivalent SCA tool) to the CI/CD pipeline so new vulnerable dependencies are caught automatically going forward.</w:t>
      </w: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EC629A" w14:textId="77777777" w:rsidR="00F20525" w:rsidRDefault="00F20525" w:rsidP="002F3F84">
      <w:r>
        <w:separator/>
      </w:r>
    </w:p>
  </w:endnote>
  <w:endnote w:type="continuationSeparator" w:id="0">
    <w:p w14:paraId="5972DA87" w14:textId="77777777" w:rsidR="00F20525" w:rsidRDefault="00F20525" w:rsidP="002F3F84">
      <w:r>
        <w:continuationSeparator/>
      </w:r>
    </w:p>
  </w:endnote>
  <w:endnote w:type="continuationNotice" w:id="1">
    <w:p w14:paraId="0B6C9C3A" w14:textId="77777777" w:rsidR="00F20525" w:rsidRDefault="00F205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15878" w14:textId="77777777" w:rsidR="00F20525" w:rsidRDefault="00F20525" w:rsidP="002F3F84">
      <w:r>
        <w:separator/>
      </w:r>
    </w:p>
  </w:footnote>
  <w:footnote w:type="continuationSeparator" w:id="0">
    <w:p w14:paraId="27451882" w14:textId="77777777" w:rsidR="00F20525" w:rsidRDefault="00F20525" w:rsidP="002F3F84">
      <w:r>
        <w:continuationSeparator/>
      </w:r>
    </w:p>
  </w:footnote>
  <w:footnote w:type="continuationNotice" w:id="1">
    <w:p w14:paraId="7FCC2BB9" w14:textId="77777777" w:rsidR="00F20525" w:rsidRDefault="00F2052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40cc8b17-6277-40d3-adb4-53037ef9c179"/>
    <ds:schemaRef ds:uri="c534d78a-cb69-4aca-a069-043e1704d47b"/>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462FF6FF-89A1-4528-B167-6016406CC81C}"/>
</file>

<file path=docProps/app.xml><?xml version="1.0" encoding="utf-8"?>
<Properties xmlns="http://schemas.openxmlformats.org/officeDocument/2006/extended-properties" xmlns:vt="http://schemas.openxmlformats.org/officeDocument/2006/docPropsVTypes">
  <Template>Normal</Template>
  <TotalTime>4</TotalTime>
  <Pages>2</Pages>
  <Words>441</Words>
  <Characters>2515</Characters>
  <Application>Microsoft Office Word</Application>
  <DocSecurity>0</DocSecurity>
  <Lines>20</Lines>
  <Paragraphs>5</Paragraphs>
  <ScaleCrop>false</ScaleCrop>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Olson, Rebecca</cp:lastModifiedBy>
  <cp:revision>4</cp:revision>
  <dcterms:created xsi:type="dcterms:W3CDTF">2024-02-07T05:59:00Z</dcterms:created>
  <dcterms:modified xsi:type="dcterms:W3CDTF">2024-02-07T06:02:00Z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