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111A1CEF" w:rsidR="00E579AD" w:rsidRPr="00D85081" w:rsidRDefault="006E6ABB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>Autenticación de usuarios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764D9BE2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6E6ABB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60D4DEDD" w:rsidR="009D25B3" w:rsidRPr="003547A8" w:rsidRDefault="006E6ABB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6FE38E99" w:rsidR="00F7421B" w:rsidRPr="003833A6" w:rsidRDefault="006E6ABB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658BABF3" w14:textId="0F18036C" w:rsidR="001F2104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1544" w:history="1">
            <w:r w:rsidR="001F2104" w:rsidRPr="00121630">
              <w:rPr>
                <w:rStyle w:val="Hipervnculo"/>
                <w:noProof/>
              </w:rPr>
              <w:t>1</w:t>
            </w:r>
            <w:r w:rsidR="001F21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1F2104" w:rsidRPr="00121630">
              <w:rPr>
                <w:rStyle w:val="Hipervnculo"/>
                <w:noProof/>
              </w:rPr>
              <w:t>AUTENTICACIÓN DE USUARIOS</w:t>
            </w:r>
            <w:r w:rsidR="001F2104">
              <w:rPr>
                <w:noProof/>
                <w:webHidden/>
              </w:rPr>
              <w:tab/>
            </w:r>
            <w:r w:rsidR="001F2104">
              <w:rPr>
                <w:noProof/>
                <w:webHidden/>
              </w:rPr>
              <w:fldChar w:fldCharType="begin"/>
            </w:r>
            <w:r w:rsidR="001F2104">
              <w:rPr>
                <w:noProof/>
                <w:webHidden/>
              </w:rPr>
              <w:instrText xml:space="preserve"> PAGEREF _Toc182981544 \h </w:instrText>
            </w:r>
            <w:r w:rsidR="001F2104">
              <w:rPr>
                <w:noProof/>
                <w:webHidden/>
              </w:rPr>
            </w:r>
            <w:r w:rsidR="001F2104">
              <w:rPr>
                <w:noProof/>
                <w:webHidden/>
              </w:rPr>
              <w:fldChar w:fldCharType="separate"/>
            </w:r>
            <w:r w:rsidR="001F2104">
              <w:rPr>
                <w:noProof/>
                <w:webHidden/>
              </w:rPr>
              <w:t>1</w:t>
            </w:r>
            <w:r w:rsidR="001F2104">
              <w:rPr>
                <w:noProof/>
                <w:webHidden/>
              </w:rPr>
              <w:fldChar w:fldCharType="end"/>
            </w:r>
          </w:hyperlink>
        </w:p>
        <w:p w14:paraId="3A507EFE" w14:textId="21972DF7" w:rsidR="001F2104" w:rsidRDefault="001F2104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45" w:history="1">
            <w:r w:rsidRPr="0012163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9776" w14:textId="77A74A61" w:rsidR="001F2104" w:rsidRDefault="001F2104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46" w:history="1">
            <w:r w:rsidRPr="00121630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64C1" w14:textId="43CD92A4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47" w:history="1">
            <w:r w:rsidRPr="0012163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269E" w14:textId="36DD63CC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48" w:history="1">
            <w:r w:rsidRPr="0012163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4174" w14:textId="7A30920A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49" w:history="1">
            <w:r w:rsidRPr="0012163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F8FA" w14:textId="6EA449B9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0" w:history="1">
            <w:r w:rsidRPr="0012163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4FC8" w14:textId="22837245" w:rsidR="001F2104" w:rsidRDefault="001F2104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1" w:history="1">
            <w:r w:rsidRPr="0012163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9800" w14:textId="01C07076" w:rsidR="001F2104" w:rsidRDefault="001F2104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2" w:history="1">
            <w:r w:rsidRPr="0012163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2B04" w14:textId="6378271A" w:rsidR="001F2104" w:rsidRDefault="001F2104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3" w:history="1">
            <w:r w:rsidRPr="00121630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  <w:lang w:val="es-ES"/>
              </w:rPr>
              <w:t>FA01. Excepciones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0B53" w14:textId="7AA2B1F9" w:rsidR="001F2104" w:rsidRDefault="001F2104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4" w:history="1">
            <w:r w:rsidRPr="00121630">
              <w:rPr>
                <w:rStyle w:val="Hipervnculo"/>
                <w:noProof/>
                <w:lang w:val="es-ES" w:eastAsia="en-US"/>
              </w:rPr>
              <w:t>5.2.2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  <w:lang w:val="es-ES" w:eastAsia="en-US"/>
              </w:rPr>
              <w:t>FA02 Usuario inhabilitado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44F2" w14:textId="08C37628" w:rsidR="001F2104" w:rsidRDefault="001F2104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5" w:history="1">
            <w:r w:rsidRPr="00121630">
              <w:rPr>
                <w:rStyle w:val="Hipervnculo"/>
                <w:noProof/>
                <w:lang w:val="es-ES" w:eastAsia="en-US"/>
              </w:rPr>
              <w:t>5.2.3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  <w:lang w:val="es-ES" w:eastAsia="en-US"/>
              </w:rPr>
              <w:t>FA03 Usuario no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D0EE" w14:textId="1761A1BB" w:rsidR="001F2104" w:rsidRDefault="001F2104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6" w:history="1">
            <w:r w:rsidRPr="00121630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0C34" w14:textId="4622C594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7" w:history="1">
            <w:r w:rsidRPr="0012163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9C" w14:textId="5F2740C6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8" w:history="1">
            <w:r w:rsidRPr="0012163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AA49" w14:textId="12CA3088" w:rsidR="001F2104" w:rsidRDefault="001F2104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1559" w:history="1">
            <w:r w:rsidRPr="00121630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121630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7CBAB2F1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15855D78" w:rsidR="00F457F5" w:rsidRPr="007D7226" w:rsidRDefault="006E6ABB" w:rsidP="00D16811">
      <w:pPr>
        <w:pStyle w:val="Ttulo1"/>
        <w:tabs>
          <w:tab w:val="left" w:pos="425"/>
        </w:tabs>
        <w:spacing w:before="480"/>
      </w:pPr>
      <w:bookmarkStart w:id="0" w:name="_Toc425054504"/>
      <w:bookmarkStart w:id="1" w:name="_Toc423410238"/>
      <w:bookmarkStart w:id="2" w:name="_Toc182981544"/>
      <w:r>
        <w:t>AUTENTICACIÓN DE USUARIOS</w:t>
      </w:r>
      <w:bookmarkEnd w:id="2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1545"/>
      <w:bookmarkEnd w:id="0"/>
      <w:bookmarkEnd w:id="1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20F409B7" w:rsidR="0085455E" w:rsidRPr="006E6ABB" w:rsidRDefault="006E6ABB" w:rsidP="0085455E">
      <w:r w:rsidRPr="006E6ABB">
        <w:t>La automatización de la gestión de la biblioteca requiere garantizar la confidencialidad y seguridad de los datos. Para lograrlo, se implementará un sistema con una interfaz de acceso protegida mediante usuarios y contraseñas únicos. Este mecanismo asegurará que solo usuarios autorizados, como bibliotecarios y administradores, puedan acceder y gestionar las funciones del sistema, restringiendo el acceso no autorizado.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1546"/>
      <w:r w:rsidRPr="009D46C0">
        <w:rPr>
          <w:lang w:eastAsia="en-US"/>
        </w:rPr>
        <w:t>Antecedentes</w:t>
      </w:r>
      <w:bookmarkEnd w:id="7"/>
    </w:p>
    <w:p w14:paraId="2AC00A2E" w14:textId="6FAF27F6" w:rsidR="009D46C0" w:rsidRPr="00BC6523" w:rsidRDefault="00BC6523" w:rsidP="009D46C0">
      <w:pPr>
        <w:pStyle w:val="Textoindependiente"/>
        <w:rPr>
          <w:color w:val="auto"/>
          <w:lang w:eastAsia="en-US"/>
        </w:rPr>
      </w:pPr>
      <w:r w:rsidRPr="00BC6523">
        <w:rPr>
          <w:color w:val="auto"/>
          <w:lang w:eastAsia="en-US"/>
        </w:rPr>
        <w:t xml:space="preserve">El colegio Saint Patrick </w:t>
      </w:r>
      <w:proofErr w:type="spellStart"/>
      <w:r w:rsidRPr="00BC6523">
        <w:rPr>
          <w:color w:val="auto"/>
          <w:lang w:eastAsia="en-US"/>
        </w:rPr>
        <w:t>School</w:t>
      </w:r>
      <w:proofErr w:type="spellEnd"/>
      <w:r w:rsidRPr="00BC6523">
        <w:rPr>
          <w:color w:val="auto"/>
          <w:lang w:eastAsia="en-US"/>
        </w:rPr>
        <w:t xml:space="preserve"> ha gestionado su biblioteca durante años utilizando herramientas manuales, como hojas de cálculo en Excel. Este enfoque ha permitido el acceso libre a los registros desde cualquier computador con la información almacenada, exponiéndola a riesgos de seguridad y manipulación. Por ello, es fundamental implementar un sistema que incorpore la autenticación de usuarios para proteger los datos</w:t>
      </w:r>
      <w:r>
        <w:rPr>
          <w:color w:val="auto"/>
          <w:lang w:eastAsia="en-US"/>
        </w:rPr>
        <w:t xml:space="preserve"> y </w:t>
      </w:r>
      <w:r w:rsidRPr="00BC6523">
        <w:rPr>
          <w:color w:val="auto"/>
          <w:lang w:eastAsia="en-US"/>
        </w:rPr>
        <w:t>optimizar los procesos de gestión.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535910786"/>
      <w:bookmarkStart w:id="9" w:name="_Toc296587024"/>
      <w:bookmarkStart w:id="10" w:name="_Toc445280466"/>
      <w:bookmarkStart w:id="11" w:name="_Toc182981547"/>
      <w:r w:rsidRPr="002D3776">
        <w:t>Definiciones, Acrónimos, Abreviaturas</w:t>
      </w:r>
      <w:bookmarkEnd w:id="9"/>
      <w:bookmarkEnd w:id="10"/>
      <w:bookmarkEnd w:id="11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BC6523" w:rsidRDefault="000D19E9" w:rsidP="001F70B9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</w:rPr>
        <w:t>Inventario:</w:t>
      </w:r>
      <w:r w:rsidRPr="00BC6523">
        <w:rPr>
          <w:rFonts w:cs="Arial"/>
          <w:color w:val="auto"/>
          <w:szCs w:val="20"/>
        </w:rPr>
        <w:t xml:space="preserve"> Lista ordenada de bienes y demás cosas valorables que pertenecen a una persona, empresa o institución.</w:t>
      </w:r>
    </w:p>
    <w:p w14:paraId="2317C830" w14:textId="77777777" w:rsidR="00BC6523" w:rsidRPr="00BC6523" w:rsidRDefault="00675369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</w:rPr>
        <w:t>Biblioteca</w:t>
      </w:r>
      <w:r w:rsidR="000D19E9" w:rsidRPr="00BC6523">
        <w:rPr>
          <w:rFonts w:cs="Arial"/>
          <w:b/>
          <w:bCs/>
          <w:color w:val="auto"/>
          <w:szCs w:val="20"/>
        </w:rPr>
        <w:t>:</w:t>
      </w:r>
      <w:r w:rsidR="000D19E9" w:rsidRPr="00BC6523">
        <w:rPr>
          <w:rFonts w:cs="Arial"/>
          <w:color w:val="auto"/>
          <w:szCs w:val="20"/>
        </w:rPr>
        <w:t xml:space="preserve"> </w:t>
      </w:r>
      <w:r w:rsidRPr="00BC6523">
        <w:rPr>
          <w:rFonts w:cs="Arial"/>
          <w:color w:val="auto"/>
          <w:szCs w:val="20"/>
        </w:rPr>
        <w:t>Lugar donde se tiene considerable número de libros ordenados para la lectura</w:t>
      </w:r>
      <w:r w:rsidR="000D19E9" w:rsidRPr="00BC6523">
        <w:rPr>
          <w:rFonts w:cs="Arial"/>
          <w:color w:val="auto"/>
          <w:szCs w:val="20"/>
        </w:rPr>
        <w:t>.</w:t>
      </w:r>
    </w:p>
    <w:p w14:paraId="3F697113" w14:textId="77777777" w:rsidR="00BC6523" w:rsidRPr="00BC6523" w:rsidRDefault="00BC6523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  <w:lang w:val="es-US" w:eastAsia="es-US"/>
        </w:rPr>
        <w:t>Autenticación</w:t>
      </w:r>
      <w:r w:rsidRPr="00BC6523">
        <w:rPr>
          <w:rFonts w:cs="Arial"/>
          <w:color w:val="auto"/>
          <w:szCs w:val="20"/>
          <w:lang w:val="es-US" w:eastAsia="es-US"/>
        </w:rPr>
        <w:t>: Proceso de verificación que garantiza que un usuario sea quien dice ser, generalmente mediante credenciales como usuario y contraseña.</w:t>
      </w:r>
    </w:p>
    <w:p w14:paraId="42A17B97" w14:textId="77777777" w:rsidR="00BC6523" w:rsidRPr="00BC6523" w:rsidRDefault="00BC6523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  <w:lang w:val="es-US" w:eastAsia="es-US"/>
        </w:rPr>
        <w:t>Administrador</w:t>
      </w:r>
      <w:r w:rsidRPr="00BC6523">
        <w:rPr>
          <w:rFonts w:cs="Arial"/>
          <w:color w:val="auto"/>
          <w:szCs w:val="20"/>
          <w:lang w:val="es-US" w:eastAsia="es-US"/>
        </w:rPr>
        <w:t>: Usuario con permisos especiales para gestionar y configurar el sistema en su totalidad.</w:t>
      </w:r>
    </w:p>
    <w:p w14:paraId="118108FA" w14:textId="77777777" w:rsidR="00BC6523" w:rsidRPr="00BC6523" w:rsidRDefault="00BC6523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  <w:lang w:val="es-US" w:eastAsia="es-US"/>
        </w:rPr>
        <w:t>Bibliotecario</w:t>
      </w:r>
      <w:r w:rsidRPr="00BC6523">
        <w:rPr>
          <w:rFonts w:cs="Arial"/>
          <w:color w:val="auto"/>
          <w:szCs w:val="20"/>
          <w:lang w:val="es-US" w:eastAsia="es-US"/>
        </w:rPr>
        <w:t>: Usuario autorizado para gestionar los recursos de la biblioteca y atender las necesidades de préstamos y devoluciones de los usuarios.</w:t>
      </w:r>
    </w:p>
    <w:p w14:paraId="750ABF77" w14:textId="77777777" w:rsidR="00BC6523" w:rsidRPr="00BC6523" w:rsidRDefault="00BC6523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  <w:lang w:val="es-US" w:eastAsia="es-US"/>
        </w:rPr>
        <w:t>Estudiante/Docente</w:t>
      </w:r>
      <w:r w:rsidRPr="00BC6523">
        <w:rPr>
          <w:rFonts w:cs="Arial"/>
          <w:color w:val="auto"/>
          <w:szCs w:val="20"/>
          <w:lang w:val="es-US" w:eastAsia="es-US"/>
        </w:rPr>
        <w:t>: Usuarios que interactúan con el sistema para solicitar préstamos y registrar devoluciones.</w:t>
      </w:r>
    </w:p>
    <w:p w14:paraId="7C6CFA10" w14:textId="5A3D1991" w:rsidR="00BC6523" w:rsidRPr="00BC6523" w:rsidRDefault="00BC6523" w:rsidP="00BC6523">
      <w:pPr>
        <w:pStyle w:val="Textoindependiente"/>
        <w:numPr>
          <w:ilvl w:val="0"/>
          <w:numId w:val="4"/>
        </w:numPr>
        <w:rPr>
          <w:rFonts w:cs="Arial"/>
          <w:color w:val="auto"/>
          <w:szCs w:val="20"/>
          <w:lang w:val="es-ES" w:eastAsia="en-US"/>
        </w:rPr>
      </w:pPr>
      <w:r w:rsidRPr="00BC6523">
        <w:rPr>
          <w:rFonts w:cs="Arial"/>
          <w:b/>
          <w:bCs/>
          <w:color w:val="auto"/>
          <w:szCs w:val="20"/>
          <w:lang w:val="es-US" w:eastAsia="es-US"/>
        </w:rPr>
        <w:t>RF (Requisito Funcional)</w:t>
      </w:r>
      <w:r w:rsidRPr="00BC6523">
        <w:rPr>
          <w:rFonts w:cs="Arial"/>
          <w:color w:val="auto"/>
          <w:szCs w:val="20"/>
          <w:lang w:val="es-US" w:eastAsia="es-US"/>
        </w:rPr>
        <w:t>: Funcionalidad específica que el sistema debe cumplir para satisfacer las necesidades del usuario o cliente.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1548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38848378" w14:textId="61CBFDAB" w:rsidR="00BC6523" w:rsidRDefault="00BC6523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1549"/>
      <w:r w:rsidRPr="002D3776">
        <w:t>Precondiciones</w:t>
      </w:r>
      <w:bookmarkEnd w:id="16"/>
      <w:bookmarkEnd w:id="17"/>
      <w:bookmarkEnd w:id="18"/>
    </w:p>
    <w:p w14:paraId="7479BCB7" w14:textId="796DFB0D" w:rsidR="004061CA" w:rsidRPr="00BC6523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BC6523">
        <w:rPr>
          <w:color w:val="auto"/>
          <w:lang w:val="es-ES" w:eastAsia="en-US"/>
        </w:rPr>
        <w:t>El administrador o bibliotecaria deben iniciar sesión en el sistema</w:t>
      </w:r>
    </w:p>
    <w:p w14:paraId="49125976" w14:textId="06FABEB8" w:rsidR="00BC6523" w:rsidRPr="00BC6523" w:rsidRDefault="00CB2B92" w:rsidP="00BC6523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BC6523">
        <w:rPr>
          <w:color w:val="auto"/>
          <w:lang w:val="es-ES" w:eastAsia="en-US"/>
        </w:rPr>
        <w:t>Validar que el usuario esté registrado dentro del sistema.</w:t>
      </w:r>
      <w:r w:rsidR="00BC6523" w:rsidRPr="00BC6523">
        <w:rPr>
          <w:rFonts w:ascii="Times New Roman" w:hAnsi="Symbol"/>
          <w:color w:val="auto"/>
          <w:sz w:val="24"/>
          <w:lang w:val="es-US" w:eastAsia="es-US"/>
        </w:rPr>
        <w:t xml:space="preserve"> </w:t>
      </w:r>
    </w:p>
    <w:p w14:paraId="24D8EC0A" w14:textId="77777777" w:rsidR="00BC6523" w:rsidRPr="00BC6523" w:rsidRDefault="00BC6523" w:rsidP="00BC6523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BC6523">
        <w:rPr>
          <w:color w:val="auto"/>
          <w:lang w:val="es-US" w:eastAsia="en-US"/>
        </w:rPr>
        <w:lastRenderedPageBreak/>
        <w:t>El administrador o bibliotecario deben iniciar sesión en el sistema con sus credenciales válidas.</w:t>
      </w:r>
    </w:p>
    <w:p w14:paraId="391B6B92" w14:textId="26765649" w:rsidR="00BC6523" w:rsidRPr="00BC6523" w:rsidRDefault="00BC6523" w:rsidP="00BC6523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BC6523">
        <w:rPr>
          <w:color w:val="auto"/>
          <w:lang w:val="es-US" w:eastAsia="en-US"/>
        </w:rPr>
        <w:t>El usuario debe estar registrado y contar con permisos específicos para acceder al módulo de bitácora o reporte.</w:t>
      </w:r>
    </w:p>
    <w:p w14:paraId="192F7BC0" w14:textId="7217D8C0" w:rsidR="00CB2B92" w:rsidRPr="00BC6523" w:rsidRDefault="00BC6523" w:rsidP="00BC6523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BC6523">
        <w:rPr>
          <w:color w:val="auto"/>
          <w:lang w:val="es-US" w:eastAsia="en-US"/>
        </w:rPr>
        <w:t>Deben existir datos previamente almacenados en el sistema relacionados con préstamos, devoluciones o lecturas.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1550"/>
      <w:r w:rsidRPr="0070205C">
        <w:t>Flujo de Eventos</w:t>
      </w:r>
      <w:bookmarkEnd w:id="8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1551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016EBF4E" w14:textId="77777777" w:rsidR="009B082D" w:rsidRPr="009B082D" w:rsidRDefault="009B082D" w:rsidP="009B082D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9B082D">
        <w:rPr>
          <w:rFonts w:cs="Arial"/>
          <w:color w:val="auto"/>
          <w:szCs w:val="20"/>
          <w:lang w:val="es-US" w:eastAsia="es-US"/>
        </w:rPr>
        <w:t>El usuario accede a la pantalla de inicio de sesión del sistema.</w:t>
      </w:r>
    </w:p>
    <w:p w14:paraId="5C4B86DB" w14:textId="77777777" w:rsidR="009B082D" w:rsidRPr="009B082D" w:rsidRDefault="009B082D" w:rsidP="009B082D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9B082D">
        <w:rPr>
          <w:rFonts w:cs="Arial"/>
          <w:color w:val="auto"/>
          <w:szCs w:val="20"/>
          <w:lang w:val="es-US" w:eastAsia="es-US"/>
        </w:rPr>
        <w:t>Ingresa su nombre de usuario y contraseña en los campos correspondientes.</w:t>
      </w:r>
    </w:p>
    <w:p w14:paraId="24DB7A4B" w14:textId="4000084F" w:rsidR="009B082D" w:rsidRPr="009B082D" w:rsidRDefault="009B082D" w:rsidP="009B082D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9B082D">
        <w:rPr>
          <w:rFonts w:cs="Arial"/>
          <w:color w:val="auto"/>
          <w:szCs w:val="20"/>
          <w:lang w:val="es-US" w:eastAsia="es-US"/>
        </w:rPr>
        <w:t>El sistema valida las credenciales ingresadas comparándolas con los datos almacenados en la base de datos.</w:t>
      </w:r>
    </w:p>
    <w:p w14:paraId="1FBC6281" w14:textId="0C58CC5E" w:rsidR="009B082D" w:rsidRPr="009B082D" w:rsidRDefault="009B082D" w:rsidP="009B082D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9B082D">
        <w:rPr>
          <w:rFonts w:cs="Arial"/>
          <w:color w:val="auto"/>
          <w:szCs w:val="20"/>
          <w:lang w:eastAsia="en-US"/>
        </w:rPr>
        <w:t>El sistema redirige al usuario al panel principal</w:t>
      </w:r>
      <w:r>
        <w:rPr>
          <w:rFonts w:cs="Arial"/>
          <w:color w:val="auto"/>
          <w:szCs w:val="20"/>
          <w:lang w:eastAsia="en-US"/>
        </w:rPr>
        <w:t>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2981552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2981553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r w:rsidR="006903E2">
        <w:rPr>
          <w:sz w:val="20"/>
          <w:szCs w:val="20"/>
          <w:lang w:val="es-ES"/>
        </w:rPr>
        <w:t>Excepciones del sistema</w:t>
      </w:r>
      <w:bookmarkEnd w:id="36"/>
    </w:p>
    <w:p w14:paraId="43F45627" w14:textId="6506D429" w:rsidR="0082775D" w:rsidRDefault="009B082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 xml:space="preserve">Si el usuario no es el correcto, se mostrará un mensaje de </w:t>
      </w:r>
      <w:r w:rsidRPr="009B082D">
        <w:rPr>
          <w:i/>
          <w:iCs/>
          <w:color w:val="auto"/>
          <w:lang w:val="es-ES" w:eastAsia="en-US"/>
        </w:rPr>
        <w:t>“usuario o contraseña incorrecta”.</w:t>
      </w:r>
    </w:p>
    <w:p w14:paraId="56130C9B" w14:textId="67052996" w:rsidR="009B082D" w:rsidRDefault="009B082D" w:rsidP="009B082D">
      <w:pPr>
        <w:pStyle w:val="Ttulo3"/>
        <w:rPr>
          <w:sz w:val="20"/>
          <w:szCs w:val="20"/>
          <w:lang w:val="es-ES" w:eastAsia="en-US"/>
        </w:rPr>
      </w:pPr>
      <w:bookmarkStart w:id="38" w:name="_Toc182981554"/>
      <w:r w:rsidRPr="009B082D">
        <w:rPr>
          <w:sz w:val="20"/>
          <w:szCs w:val="20"/>
          <w:lang w:val="es-ES" w:eastAsia="en-US"/>
        </w:rPr>
        <w:t>FA02 Usuario inhabilitado</w:t>
      </w:r>
      <w:bookmarkEnd w:id="38"/>
    </w:p>
    <w:p w14:paraId="286F1B14" w14:textId="314B0747" w:rsidR="009B082D" w:rsidRPr="009B082D" w:rsidRDefault="009B082D" w:rsidP="009B082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9B082D">
        <w:rPr>
          <w:rFonts w:ascii="Arial" w:hAnsi="Arial" w:cs="Arial"/>
          <w:sz w:val="20"/>
          <w:szCs w:val="20"/>
        </w:rPr>
        <w:t xml:space="preserve">Si el usuario se encuentra inhabilitado, se mostrará un mensaje señalando que </w:t>
      </w:r>
      <w:r w:rsidRPr="009B082D">
        <w:rPr>
          <w:rFonts w:ascii="Arial" w:hAnsi="Arial" w:cs="Arial"/>
          <w:i/>
          <w:iCs/>
          <w:sz w:val="20"/>
          <w:szCs w:val="20"/>
        </w:rPr>
        <w:t>“su cuenta fue inhabilitada, debe contactarse con el administrador”.</w:t>
      </w:r>
    </w:p>
    <w:p w14:paraId="03315015" w14:textId="033ACDCD" w:rsidR="009B082D" w:rsidRPr="009B082D" w:rsidRDefault="009B082D" w:rsidP="009B082D">
      <w:pPr>
        <w:pStyle w:val="Ttulo3"/>
        <w:rPr>
          <w:sz w:val="20"/>
          <w:szCs w:val="20"/>
          <w:lang w:val="es-ES" w:eastAsia="en-US"/>
        </w:rPr>
      </w:pPr>
      <w:bookmarkStart w:id="39" w:name="_Toc182981555"/>
      <w:r w:rsidRPr="009B082D">
        <w:rPr>
          <w:sz w:val="20"/>
          <w:szCs w:val="20"/>
          <w:lang w:val="es-ES" w:eastAsia="en-US"/>
        </w:rPr>
        <w:t>FA03 Usuario no registrado</w:t>
      </w:r>
      <w:bookmarkEnd w:id="39"/>
    </w:p>
    <w:p w14:paraId="2020484D" w14:textId="259DAA09" w:rsidR="00F457F5" w:rsidRPr="009B082D" w:rsidRDefault="009B082D" w:rsidP="009B082D">
      <w:pPr>
        <w:pStyle w:val="InfoBlue"/>
        <w:numPr>
          <w:ilvl w:val="0"/>
          <w:numId w:val="15"/>
        </w:numPr>
        <w:rPr>
          <w:color w:val="auto"/>
          <w:lang w:val="es-ES"/>
        </w:rPr>
      </w:pPr>
      <w:r w:rsidRPr="009B082D">
        <w:rPr>
          <w:i w:val="0"/>
          <w:iCs/>
          <w:color w:val="auto"/>
          <w:lang w:val="es-ES"/>
        </w:rPr>
        <w:t xml:space="preserve">Si el usuario no está registrado se mostrará un mensaje que </w:t>
      </w:r>
      <w:r w:rsidRPr="009B082D">
        <w:rPr>
          <w:color w:val="auto"/>
          <w:lang w:val="es-ES"/>
        </w:rPr>
        <w:t>“el usuario no está registrado, por favor contactarse con el administrador”.</w:t>
      </w: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40" w:name="_Toc445280477"/>
      <w:bookmarkStart w:id="41" w:name="_Toc296587038"/>
      <w:bookmarkStart w:id="42" w:name="_Toc182981556"/>
      <w:r w:rsidRPr="006B3E83">
        <w:rPr>
          <w:i w:val="0"/>
          <w:sz w:val="24"/>
          <w:szCs w:val="24"/>
        </w:rPr>
        <w:t>R</w:t>
      </w:r>
      <w:bookmarkEnd w:id="40"/>
      <w:r w:rsidR="002C4EE5">
        <w:rPr>
          <w:i w:val="0"/>
          <w:sz w:val="24"/>
          <w:szCs w:val="24"/>
        </w:rPr>
        <w:t>eglas de negocio</w:t>
      </w:r>
      <w:bookmarkEnd w:id="42"/>
    </w:p>
    <w:p w14:paraId="45711D9F" w14:textId="15C8A157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</w:t>
      </w:r>
      <w:r w:rsidR="00476407">
        <w:t>puede ingresar a este apartado</w:t>
      </w:r>
    </w:p>
    <w:p w14:paraId="410DADA9" w14:textId="33223F22" w:rsidR="002C4EE5" w:rsidRDefault="0082775D" w:rsidP="00366199">
      <w:pPr>
        <w:numPr>
          <w:ilvl w:val="0"/>
          <w:numId w:val="8"/>
        </w:numPr>
        <w:spacing w:line="276" w:lineRule="auto"/>
      </w:pPr>
      <w:r>
        <w:t xml:space="preserve">Cada </w:t>
      </w:r>
      <w:r w:rsidR="00476407">
        <w:t>puntuación</w:t>
      </w:r>
      <w:r>
        <w:t xml:space="preserve"> tiene un ID único en el sistema.</w:t>
      </w:r>
    </w:p>
    <w:p w14:paraId="248F14A9" w14:textId="0F2B7D5C" w:rsidR="005B0BFA" w:rsidRPr="005B0BFA" w:rsidRDefault="005B0BFA" w:rsidP="005B0BFA">
      <w:pPr>
        <w:numPr>
          <w:ilvl w:val="0"/>
          <w:numId w:val="8"/>
        </w:numPr>
        <w:spacing w:line="276" w:lineRule="auto"/>
        <w:rPr>
          <w:lang w:val="es-US"/>
        </w:rPr>
      </w:pPr>
      <w:r w:rsidRPr="005B0BFA">
        <w:rPr>
          <w:lang w:val="es-US"/>
        </w:rPr>
        <w:t>Cada usuario registrado debe tener un nombre de usuario único y una contraseña segura almacenada de forma cifrada.</w:t>
      </w:r>
    </w:p>
    <w:p w14:paraId="20186B3E" w14:textId="1232452F" w:rsidR="005B0BFA" w:rsidRPr="005B0BFA" w:rsidRDefault="005B0BFA" w:rsidP="005B0BFA">
      <w:pPr>
        <w:numPr>
          <w:ilvl w:val="0"/>
          <w:numId w:val="8"/>
        </w:numPr>
        <w:spacing w:line="276" w:lineRule="auto"/>
        <w:rPr>
          <w:lang w:val="es-US"/>
        </w:rPr>
      </w:pPr>
      <w:r w:rsidRPr="005B0BFA">
        <w:rPr>
          <w:lang w:val="es-US"/>
        </w:rPr>
        <w:t>Solo los administradores o bibliotecarios pueden registrar nuevos usuarios en el sistema.</w:t>
      </w:r>
    </w:p>
    <w:p w14:paraId="1D9657E7" w14:textId="4D6537E1" w:rsidR="005B0BFA" w:rsidRPr="00366199" w:rsidRDefault="005B0BFA" w:rsidP="005B0BFA">
      <w:pPr>
        <w:numPr>
          <w:ilvl w:val="0"/>
          <w:numId w:val="8"/>
        </w:numPr>
        <w:spacing w:line="276" w:lineRule="auto"/>
      </w:pPr>
      <w:r w:rsidRPr="005B0BFA">
        <w:rPr>
          <w:lang w:val="es-US"/>
        </w:rPr>
        <w:t>Los administradores y bibliotecarios tienen privilegios para reactivar cuentas bloqueadas o inhabilitadas.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3" w:name="_Toc296587039"/>
      <w:bookmarkStart w:id="44" w:name="_Toc445280478"/>
      <w:bookmarkStart w:id="45" w:name="_Toc182981557"/>
      <w:bookmarkEnd w:id="41"/>
      <w:r w:rsidRPr="0026098C">
        <w:t>Requerimientos Especiales</w:t>
      </w:r>
      <w:bookmarkEnd w:id="37"/>
      <w:bookmarkEnd w:id="43"/>
      <w:bookmarkEnd w:id="44"/>
      <w:bookmarkEnd w:id="45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39271774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muestra </w:t>
      </w:r>
      <w:r w:rsidR="005B0BFA">
        <w:rPr>
          <w:i w:val="0"/>
          <w:iCs/>
          <w:color w:val="auto"/>
          <w:lang w:val="es-ES"/>
        </w:rPr>
        <w:t>una interfaz de inicio de sesión sencilla e intuitiva que referencie a la institución educativa.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274C185E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</w:t>
      </w:r>
      <w:r w:rsidR="005B0BFA">
        <w:rPr>
          <w:i w:val="0"/>
          <w:iCs/>
          <w:color w:val="auto"/>
          <w:lang w:val="es-ES"/>
        </w:rPr>
        <w:t>ingresar el usuario y contraseña.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6" w:name="_Toc296587041"/>
      <w:bookmarkStart w:id="47" w:name="_Toc445280480"/>
      <w:bookmarkStart w:id="48" w:name="_Toc182981558"/>
      <w:r w:rsidRPr="0026098C">
        <w:t>Pos</w:t>
      </w:r>
      <w:r w:rsidR="00273092">
        <w:t>t</w:t>
      </w:r>
      <w:r w:rsidRPr="0026098C">
        <w:t>condiciones</w:t>
      </w:r>
      <w:bookmarkEnd w:id="46"/>
      <w:bookmarkEnd w:id="47"/>
      <w:bookmarkEnd w:id="48"/>
    </w:p>
    <w:p w14:paraId="1017AAD5" w14:textId="3687034A" w:rsidR="002C4EE5" w:rsidRPr="002C4EE5" w:rsidRDefault="005B0BFA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Ingresa al sistema para gestionar libros, usuarios, bitácoras/reportes y generar préstamos, así también como devoluciones.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333A560F" w14:textId="59C2412E" w:rsidR="005B0BFA" w:rsidRPr="005B0BFA" w:rsidRDefault="0082775D" w:rsidP="005B0BFA">
      <w:pPr>
        <w:pStyle w:val="Ttulo1"/>
        <w:tabs>
          <w:tab w:val="left" w:pos="425"/>
        </w:tabs>
        <w:spacing w:before="480"/>
      </w:pPr>
      <w:bookmarkStart w:id="49" w:name="_Toc182981559"/>
      <w:r>
        <w:t>Diagrama de caso de uso</w:t>
      </w:r>
      <w:bookmarkEnd w:id="49"/>
    </w:p>
    <w:p w14:paraId="2B0B917A" w14:textId="49D2B36E" w:rsidR="005B0BFA" w:rsidRPr="005B0BFA" w:rsidRDefault="005B0BFA" w:rsidP="005B0BFA">
      <w:pPr>
        <w:spacing w:before="100"/>
        <w:jc w:val="center"/>
        <w:rPr>
          <w:lang w:val="es-US"/>
        </w:rPr>
      </w:pPr>
      <w:r w:rsidRPr="005B0BFA">
        <w:rPr>
          <w:lang w:val="es-US"/>
        </w:rPr>
        <w:drawing>
          <wp:inline distT="0" distB="0" distL="0" distR="0" wp14:anchorId="15A30BE2" wp14:editId="7420752B">
            <wp:extent cx="5584825" cy="2232660"/>
            <wp:effectExtent l="0" t="0" r="0" b="0"/>
            <wp:docPr id="20584299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09"/>
                    <a:stretch/>
                  </pic:blipFill>
                  <pic:spPr bwMode="auto">
                    <a:xfrm>
                      <a:off x="0" y="0"/>
                      <a:ext cx="55848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74960BEA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6E6ABB" w:rsidRDefault="00BD3CEF" w:rsidP="00BD3CEF">
      <w:pPr>
        <w:tabs>
          <w:tab w:val="left" w:pos="2736"/>
        </w:tabs>
        <w:rPr>
          <w:b/>
          <w:bCs/>
          <w:sz w:val="36"/>
        </w:rPr>
      </w:pPr>
      <w:r w:rsidRPr="006E6ABB">
        <w:rPr>
          <w:b/>
          <w:bCs/>
          <w:sz w:val="36"/>
        </w:rPr>
        <w:t>Anexos</w:t>
      </w:r>
    </w:p>
    <w:p w14:paraId="72C9FEBA" w14:textId="77777777" w:rsidR="00B85EA0" w:rsidRPr="006E6ABB" w:rsidRDefault="00B85EA0" w:rsidP="00BD3CEF">
      <w:pPr>
        <w:tabs>
          <w:tab w:val="left" w:pos="2736"/>
        </w:tabs>
        <w:rPr>
          <w:b/>
          <w:bCs/>
          <w:sz w:val="36"/>
        </w:rPr>
      </w:pPr>
    </w:p>
    <w:p w14:paraId="6F1D246F" w14:textId="08B389A8" w:rsidR="00BD3CEF" w:rsidRPr="006E6ABB" w:rsidRDefault="005B0BFA" w:rsidP="00A31FAE">
      <w:pPr>
        <w:tabs>
          <w:tab w:val="left" w:pos="2736"/>
        </w:tabs>
        <w:rPr>
          <w:szCs w:val="14"/>
        </w:rPr>
      </w:pPr>
      <w:hyperlink r:id="rId12" w:history="1">
        <w:r w:rsidRPr="00AC1D85">
          <w:rPr>
            <w:rStyle w:val="Hipervnculo"/>
            <w:szCs w:val="14"/>
          </w:rPr>
          <w:t>https://lucid.app/lucidchart/0bee6440-b672-4d75-bb8e-ac189d139f31/edit?viewport_loc=-39%2C3%2C1782%2C819%2C.Q4MUjXso07N&amp;invitationId=inv_d6c4e209-4404-4fe3-8ad5-d14f1a17022d</w:t>
        </w:r>
      </w:hyperlink>
      <w:r>
        <w:rPr>
          <w:szCs w:val="14"/>
        </w:rPr>
        <w:t xml:space="preserve"> </w:t>
      </w:r>
    </w:p>
    <w:sectPr w:rsidR="00BD3CEF" w:rsidRPr="006E6ABB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8E0F6" w14:textId="77777777" w:rsidR="0078559E" w:rsidRDefault="0078559E">
      <w:r>
        <w:separator/>
      </w:r>
    </w:p>
  </w:endnote>
  <w:endnote w:type="continuationSeparator" w:id="0">
    <w:p w14:paraId="4F5834E0" w14:textId="77777777" w:rsidR="0078559E" w:rsidRDefault="0078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231F3686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6E6ABB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B66A0" w14:textId="77777777" w:rsidR="0078559E" w:rsidRDefault="0078559E">
      <w:r>
        <w:separator/>
      </w:r>
    </w:p>
  </w:footnote>
  <w:footnote w:type="continuationSeparator" w:id="0">
    <w:p w14:paraId="248C65DC" w14:textId="77777777" w:rsidR="0078559E" w:rsidRDefault="00785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18937DBA"/>
    <w:multiLevelType w:val="hybridMultilevel"/>
    <w:tmpl w:val="D9F29CEC"/>
    <w:lvl w:ilvl="0" w:tplc="5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1A0D2058"/>
    <w:multiLevelType w:val="multilevel"/>
    <w:tmpl w:val="00C00984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6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96" w:hanging="1800"/>
      </w:pPr>
      <w:rPr>
        <w:rFonts w:hint="default"/>
      </w:rPr>
    </w:lvl>
  </w:abstractNum>
  <w:abstractNum w:abstractNumId="21" w15:restartNumberingAfterBreak="0">
    <w:nsid w:val="266F1E43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2F75BA6"/>
    <w:multiLevelType w:val="multilevel"/>
    <w:tmpl w:val="8218327A"/>
    <w:lvl w:ilvl="0">
      <w:start w:val="5"/>
      <w:numFmt w:val="decimal"/>
      <w:lvlText w:val="%1."/>
      <w:lvlJc w:val="left"/>
      <w:pPr>
        <w:ind w:left="828" w:hanging="8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8" w:hanging="828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C0C74"/>
    <w:multiLevelType w:val="hybridMultilevel"/>
    <w:tmpl w:val="F43E7878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4"/>
  </w:num>
  <w:num w:numId="4" w16cid:durableId="545262147">
    <w:abstractNumId w:val="26"/>
  </w:num>
  <w:num w:numId="5" w16cid:durableId="1330910545">
    <w:abstractNumId w:val="22"/>
  </w:num>
  <w:num w:numId="6" w16cid:durableId="1809080584">
    <w:abstractNumId w:val="29"/>
  </w:num>
  <w:num w:numId="7" w16cid:durableId="1060667005">
    <w:abstractNumId w:val="23"/>
  </w:num>
  <w:num w:numId="8" w16cid:durableId="1608465591">
    <w:abstractNumId w:val="27"/>
  </w:num>
  <w:num w:numId="9" w16cid:durableId="2069380247">
    <w:abstractNumId w:val="17"/>
  </w:num>
  <w:num w:numId="10" w16cid:durableId="1062211130">
    <w:abstractNumId w:val="30"/>
  </w:num>
  <w:num w:numId="11" w16cid:durableId="597759836">
    <w:abstractNumId w:val="21"/>
  </w:num>
  <w:num w:numId="12" w16cid:durableId="621570588">
    <w:abstractNumId w:val="28"/>
  </w:num>
  <w:num w:numId="13" w16cid:durableId="748503914">
    <w:abstractNumId w:val="20"/>
  </w:num>
  <w:num w:numId="14" w16cid:durableId="1905294347">
    <w:abstractNumId w:val="25"/>
  </w:num>
  <w:num w:numId="15" w16cid:durableId="124957915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2104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A5E2B"/>
    <w:rsid w:val="003B1F2C"/>
    <w:rsid w:val="003C3EB4"/>
    <w:rsid w:val="003D1DBF"/>
    <w:rsid w:val="003D59B6"/>
    <w:rsid w:val="003E11CA"/>
    <w:rsid w:val="003E41DE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303E"/>
    <w:rsid w:val="0046470C"/>
    <w:rsid w:val="004721F5"/>
    <w:rsid w:val="004751E6"/>
    <w:rsid w:val="00476407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0BFA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4573B"/>
    <w:rsid w:val="006547A9"/>
    <w:rsid w:val="00654A7A"/>
    <w:rsid w:val="00660248"/>
    <w:rsid w:val="006623BA"/>
    <w:rsid w:val="0066254A"/>
    <w:rsid w:val="00666396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E6ABB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8559E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082D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C6523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BC6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0bee6440-b672-4d75-bb8e-ac189d139f31/edit?viewport_loc=-39%2C3%2C1782%2C819%2C.Q4MUjXso07N&amp;invitationId=inv_d6c4e209-4404-4fe3-8ad5-d14f1a17022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7333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Pozo</cp:lastModifiedBy>
  <cp:revision>9</cp:revision>
  <cp:lastPrinted>2023-07-18T15:53:00Z</cp:lastPrinted>
  <dcterms:created xsi:type="dcterms:W3CDTF">2024-10-21T18:01:00Z</dcterms:created>
  <dcterms:modified xsi:type="dcterms:W3CDTF">2024-11-20T12:52:00Z</dcterms:modified>
</cp:coreProperties>
</file>