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Decisiones Técnicas, Entorno y Texto Legal del Proyecto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Decisiones Técnicas, Entorno y Texto Legal</w:t>
      </w:r>
    </w:p>
    <w:p>
      <w:pPr>
        <w:spacing w:after="0" w:line="480"/>
        <w:ind w:firstLine="720"/>
      </w:pPr>
      <w:r>
        <w:rPr>
          <w:rFonts w:ascii="Times New Roman" w:cs="Times New Roman" w:eastAsia="Times New Roman" w:hAnsi="Times New Roman"/>
          <w:sz w:val="24"/>
          <w:szCs w:val="24"/>
        </w:rPr>
        <w:t xml:space="preserve">Este documento cierra las decisiones que faltaban antes de programar: las versiones de las tecnologías, los entornos, el envío de correos, las tareas automáticas, el flujo de trabajo del equipo y el texto legal de la autorización de datos personales. Al final verifica que cada requisito funcional recorre toda la documentación, de la pantalla a la prueba.</w:t>
      </w:r>
    </w:p>
    <w:p>
      <w:pPr>
        <w:pStyle w:val="Heading2"/>
        <w:keepNext/>
        <w:spacing w:line="480"/>
      </w:pPr>
      <w:r>
        <w:rPr>
          <w:rFonts w:ascii="Times New Roman" w:cs="Times New Roman" w:eastAsia="Times New Roman" w:hAnsi="Times New Roman"/>
          <w:b/>
          <w:bCs/>
          <w:sz w:val="24"/>
          <w:szCs w:val="24"/>
        </w:rPr>
        <w:t xml:space="preserve">Tecnologías y versiones</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Tecnologías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800"/>
        <w:gridCol w:w="35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Capa</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Tecnología</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Versión (instalada en Render el 29/10/2026)</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Uso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Servidor</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Python</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3.14.7</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Lenguaje del backend (parte que corre en el servidor); se instala con pyenv (administrador de versiones de Python) y se aísla en un entorno virtual venv</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Servidor</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FastAPI y Uvicorn</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FastAPI 0.162.0, Uvicorn 0.54.0, Pydantic 2.14.2</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API REST (canal estándar por el que la aplicación pide y envía datos al servidor) con validación Pydantic (biblioteca que valida los tipos y los rangos de los datos recibidos) 2 y servidor ASGI (estándar con el que se comunican el servidor web y la aplicación Python) que ejecuta la aplicación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Servidor</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SQLAlchemy (ORM de Python que conecta el código con la base de datos) 2, PyMySQL y Alembic (herramienta que versiona los cambios del esquema de la base de datos)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SQLAlchemy 2.1.6, PyMySQL 1.2.3, Alembic 1.20.1</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ORM (traduce tablas a clases Python), conector con la base de datos y migraciones (cambios versionados del esquema)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Base de datos</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MySQL 8</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8.4 en Aiven (8.0 o superior)</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Base de datos central con juego de caracteres utf8mb4: servicio de Aiven en el despliegue y MySQL 8 local en desarrollo; las pruebas automáticas usan SQLite en memoria. El sistema solo emplea SQL y tipos comunes (los UUID se guardan como CHAR de 36 y no se usan columnas JSON)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Cliente</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JavaScript (módulos ES)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Node 22 (solo para las pruebas)</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La PWA se sirve tal cual, sin paso de compilación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Cliente</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IndexedDB (envoltorio propio)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Navegador</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Acceso a IndexedDB (base de datos que vive dentro del navegador) (almacenamiento local)</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Cliente</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Service Worker (programa del navegador que guarda la aplicación para usarla sin internet) y Cache API (memoria del navegador donde se guardan los archivos de la aplicación)</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Navegador</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Funcionamiento sin conexión e instalación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Cliente</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Bootstrap (solo la hoja de estilos), tipografía Inter y logo del proyecto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Bootstrap 5.3.3</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Apariencia adaptable a teléfono y computador (src/estilos.css y src/tema.css); todo va dentro de la aplicación</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Argon2 (argon2-cffi)</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argon2-cffi 25.1.0</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Protección de claves con sal</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Correo</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httpx y API HTTPS de Brevo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httpx 0.28.1</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Envío del código de verificación de 6 dígitos (puerto 443)</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Pruebas</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pytest (herramienta para pruebas automáticas en Python), node:test (pruebas incluidas en Node) y Playwright</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Del CI (requirements-dev.txt y package.json)</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Pruebas del servidor (con el TestClient de FastAPI), del cliente y de extremo a extremo</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Integración continua</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GitHub Actions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Python 3.14.7 y Node 22</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Estilo, pruebas, cobertura y análisis en cada cambio; guarda requirements.lock</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Calidad</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SonarCloud (servicio en la nube que mide la calidad del código), flake8 y ESLint</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flake8 7.4.1 y ESLint 10.1.0 (medición local); SonarCloud en el CI</w:t>
            </w:r>
          </w:p>
        </w:tc>
        <w:tc>
          <w:tcPr>
            <w:tcW w:type="dxa" w:w="3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Cobertura, complejidad y duplicación</w:t>
            </w:r>
          </w:p>
        </w:tc>
      </w:tr>
    </w:tbl>
    <w:p>
      <w:pPr>
        <w:pStyle w:val="Heading2"/>
        <w:keepNext/>
        <w:spacing w:line="480"/>
      </w:pPr>
      <w:r>
        <w:rPr>
          <w:rFonts w:ascii="Times New Roman" w:cs="Times New Roman" w:eastAsia="Times New Roman" w:hAnsi="Times New Roman"/>
          <w:b/>
          <w:bCs/>
          <w:sz w:val="24"/>
          <w:szCs w:val="24"/>
        </w:rPr>
        <w:t xml:space="preserve">Entornos</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Entornos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2300"/>
        <w:gridCol w:w="13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Entorno</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Para qué</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Base de datos</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Correo</w:t>
            </w:r>
          </w:p>
        </w:tc>
        <w:tc>
          <w:tcPr>
            <w:tcW w:type="dxa" w:w="1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Datos</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Desarrollo</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Programar en el computador de cada integrante</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MySQL 8 local</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API HTTPS de Brevo, la misma del despliegue (si BREVO_API_KEY está vacía, el correo no se envía y la terminal lo avisa)</w:t>
            </w:r>
          </w:p>
        </w:tc>
        <w:tc>
          <w:tcPr>
            <w:tcW w:type="dxa" w:w="1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cargar_semilla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Pruebas</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Ejecutar el plan de pruebas y la integración continua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SQLite en memoria que se recrea en cada ejecución (la migración Alembic se prueba sobre esa misma base en memoria)</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Buzón en memoria; OTP_FIJO_PRUEBAS = 482915</w:t>
            </w:r>
          </w:p>
        </w:tc>
        <w:tc>
          <w:tcPr>
            <w:tcW w:type="dxa" w:w="1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cargar_semilla y cargar_prueba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Despliegue (Render y Aiven)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Revisión del profesor, sustentación y uso con agricultores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MySQL 8 de Aiven</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API HTTPS de Brevo</w:t>
            </w:r>
          </w:p>
        </w:tc>
        <w:tc>
          <w:tcPr>
            <w:tcW w:type="dxa" w:w="13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cargar_semilla</w:t>
            </w:r>
          </w:p>
        </w:tc>
      </w:tr>
    </w:tbl>
    <w:p>
      <w:pPr>
        <w:pStyle w:val="Heading2"/>
        <w:keepNext/>
        <w:spacing w:line="480"/>
      </w:pPr>
      <w:r>
        <w:rPr>
          <w:rFonts w:ascii="Times New Roman" w:cs="Times New Roman" w:eastAsia="Times New Roman" w:hAnsi="Times New Roman"/>
          <w:b/>
          <w:bCs/>
          <w:sz w:val="24"/>
          <w:szCs w:val="24"/>
        </w:rPr>
        <w:t>Despliegue: Render, Aiven y Brevo</w:t>
      </w:r>
    </w:p>
    <w:p>
      <w:pPr>
        <w:spacing w:after="0" w:line="480"/>
        <w:ind w:firstLine="720"/>
      </w:pPr>
      <w:r>
        <w:rPr>
          <w:rFonts w:ascii="Times New Roman" w:cs="Times New Roman" w:eastAsia="Times New Roman" w:hAnsi="Times New Roman"/>
          <w:sz w:val="24"/>
          <w:szCs w:val="24"/>
        </w:rPr>
        <w:t>Para que el profesor y los usuarios abran la aplicación desde internet sin costo, el sistema se publica en un servicio de alojamiento gratuito, que es el único despliegue del proyecto. Se eligió esta combinación (Render para la aplicación, Aiven para la base de datos MySQL 8 y Brevo para el correo) porque cada pieza tiene plan gratuito sin tarjeta de crédito. Las condiciones del plan gratuito de cada proveedor se consultaron al definir este documento (Aiven, s. f.; Brevo, s. f.; Copes, 2026; Render, 2025) y pueden cambiar, por lo que se revisan antes de la sustentación.</w:t>
      </w:r>
    </w:p>
    <w:p>
      <w:pPr>
        <w:keepNext/>
        <w:spacing w:after="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Servicios del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500"/>
        <w:gridCol w:w="2860"/>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Pieza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Servicio</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Qué ofrece el plan gratuito</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Cómo se adapta el sistema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Aplicación web</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Servicio web de Render</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Dirección propia (sembrando-futuro.onrender.com, o con un sufijo si el nombre está ocupado), HTTPS automático, 512 MB de RAM, se suspende tras 15 minutos sin uso y tarda cerca de 1 minuto en volver, y el disco no guarda archivos entre reinicios</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Uvicorn atiende directamente y los archivos estáticos de la PWA los entrega FastAPI con StaticFiles (componente que sirve archivos de una carpeta); no hay otro servidor web delante. La versión de Python se fija con la variable PYTHON_VERSION = 3.14.7 y el servicio arranca con uvicorn app.main:app --host 0.0.0.0 --port $PORT Uvicorn corre con --no-proxy-headers (ver «IP real detrás del proxy»).</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Base de datos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MySQL de Aiven</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 GB de memoria y 1 GB de disco, sin límite de tiempo; puede apagarse si no se usa, y se vuelve a encender desde el panel</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La conexión usa TLS (tecnología que cifra la conexión) con el certificado ca.pem; la consulta del monitor cada 5 minutos pasa por la base, así no queda inactiva.</w:t>
            </w:r>
          </w:p>
        </w:tc>
      </w:tr>
      <w:tr>
        <w:trPr>
          <w:cantSplit/>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Correo de los códigos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API HTTPS de Brevo</w:t>
            </w:r>
          </w:p>
        </w:tc>
        <w:tc>
          <w:tcPr>
            <w:tcW w:type="dxa" w:w="3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300 correos al día; el servicio web gratuito de Render bloquea los puertos SMTP (protocolo —reglas— para enviar correos electrónicos) 25, 465 y 587</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El envío usa siempre la API por HTTPS (puerto 443), igual en todos los entornos</w:t>
            </w:r>
          </w:p>
        </w:tc>
      </w:tr>
    </w:tbl>
    <w:p>
      <w:pPr>
        <w:pStyle w:val="ListParagraph"/>
        <w:numPr>
          <w:ilvl w:val="0"/>
          <w:numId w:val="2"/>
        </w:numPr>
        <w:spacing w:line="480"/>
      </w:pPr>
      <w:r>
        <w:rPr>
          <w:rFonts w:ascii="Times New Roman" w:cs="Times New Roman" w:eastAsia="Times New Roman" w:hAnsi="Times New Roman"/>
          <w:sz w:val="24"/>
          <w:szCs w:val="24"/>
        </w:rPr>
        <w:t xml:space="preserve">Despliegue: cada cambio que llega a la rama main se publica solo, y las variables de entorno se configuran en el panel del proveedor, nunca en el repositorio.</w:t>
      </w:r>
    </w:p>
    <w:p>
      <w:pPr>
        <w:pStyle w:val="ListParagraph"/>
        <w:numPr>
          <w:ilvl w:val="0"/>
          <w:numId w:val="2"/>
        </w:numPr>
        <w:spacing w:line="480"/>
      </w:pPr>
      <w:r>
        <w:rPr>
          <w:rFonts w:ascii="Times New Roman" w:cs="Times New Roman" w:eastAsia="Times New Roman" w:hAnsi="Times New Roman"/>
          <w:sz w:val="24"/>
          <w:szCs w:val="24"/>
        </w:rPr>
        <w:t xml:space="preserve">Tareas programadas: el plan gratuito no trae programador de tareas. Por eso limpiar_pendientes y limpiar_bloqueos se ejecutan al arrancar el servicio y cada vez que se atiende un registro (A-01) o un ingreso (A-05); las reglas de 24 horas y de 15 minutos se evalúan además en el momento de cada consulta, de modo que el usuario ve el mismo comportamiento.</w:t>
      </w:r>
    </w:p>
    <w:p>
      <w:pPr>
        <w:pStyle w:val="ListParagraph"/>
        <w:numPr>
          <w:ilvl w:val="0"/>
          <w:numId w:val="2"/>
        </w:numPr>
        <w:spacing w:line="480"/>
      </w:pPr>
      <w:r>
        <w:rPr>
          <w:rFonts w:ascii="Times New Roman" w:cs="Times New Roman" w:eastAsia="Times New Roman" w:hAnsi="Times New Roman"/>
          <w:sz w:val="24"/>
          <w:szCs w:val="24"/>
        </w:rPr>
        <w:t>Copias de seguridad: las hace Aiven de forma automática dentro de su plan gratuito (Aiven, s. f.); el proyecto no programa copias propias.</w:t>
      </w:r>
    </w:p>
    <w:p>
      <w:pPr>
        <w:pStyle w:val="ListParagraph"/>
        <w:numPr>
          <w:ilvl w:val="0"/>
          <w:numId w:val="2"/>
        </w:numPr>
        <w:spacing w:line="480"/>
      </w:pPr>
      <w:r>
        <w:rPr>
          <w:rFonts w:ascii="Times New Roman" w:cs="Times New Roman" w:eastAsia="Times New Roman" w:hAnsi="Times New Roman"/>
          <w:sz w:val="24"/>
          <w:szCs w:val="24"/>
        </w:rPr>
        <w:t>Disponibilidad: un monitor externo gratuito (por ejemplo, UptimeRobot) consulta GET /api/v1/salud cada 5 minutos. Esa consulta mide la disponibilidad mensual que pide el RNF-10 (meta de 99,0 %; resultado en el documento 23) y, como pasa por la base de datos, mantiene despiertos el servicio de Render (que se duerme tras 15 minutos sin tráfico) y la base de Aiven. Un mes tiene 744 horas y el plan gratuito de Render da 750 horas al mes, así que alcanza para un servicio encendido todo el tiempo. Las funciones del dispositivo siguen al 100 % sin conexión.</w:t>
      </w:r>
    </w:p>
    <w:p>
      <w:pPr>
        <w:pStyle w:val="ListParagraph"/>
        <w:numPr>
          <w:ilvl w:val="0"/>
          <w:numId w:val="2"/>
        </w:numPr>
        <w:spacing w:line="480"/>
      </w:pPr>
      <w:r>
        <w:rPr>
          <w:rFonts w:ascii="Times New Roman" w:cs="Times New Roman" w:eastAsia="Times New Roman" w:hAnsi="Times New Roman"/>
          <w:sz w:val="24"/>
          <w:szCs w:val="24"/>
        </w:rPr>
        <w:t xml:space="preserve">Antes de la sustentación se abre la dirección pública y se llama a GET /api/v1/salud (servicio H-01) para despertar el servicio y la base de datos, y luego se ejecuta la prueba de humo del documento 15.</w:t>
      </w:r>
    </w:p>
    <w:p>
      <w:pPr>
        <w:pStyle w:val="ListParagraph"/>
        <w:numPr>
          <w:ilvl w:val="0"/>
          <w:numId w:val="2"/>
        </w:numPr>
        <w:spacing w:line="480"/>
      </w:pPr>
      <w:r>
        <w:rPr>
          <w:rFonts w:ascii="Times New Roman" w:cs="Times New Roman" w:eastAsia="Times New Roman" w:hAnsi="Times New Roman"/>
          <w:sz w:val="24"/>
          <w:szCs w:val="24"/>
        </w:rPr>
        <w:t>Catálogo en cada despliegue: el comando de construcción de Render ejecuta alembic upgrade head y python -m app.cli cargar_semilla. La semilla solo inserta los cultivos que no existen y completa lo que falte (por ejemplo, los datos de la proyección de cosecha en una base anterior a la migración 0002); nunca sobrescribe lo que el administrador cambió con AD-04. Para volver a los valores del archivo datos/semilla_catalogo.json se ejecuta, desde el computador y con las variables de Aiven, python -m app.cli cargar_semilla --forzar.</w:t>
      </w:r>
    </w:p>
    <w:p>
      <w:pPr>
        <w:pStyle w:val="ListParagraph"/>
        <w:numPr>
          <w:ilvl w:val="0"/>
          <w:numId w:val="2"/>
        </w:numPr>
        <w:spacing w:line="480"/>
      </w:pPr>
      <w:r>
        <w:rPr>
          <w:rFonts w:ascii="Times New Roman" w:cs="Times New Roman" w:eastAsia="Times New Roman" w:hAnsi="Times New Roman"/>
          <w:sz w:val="24"/>
          <w:szCs w:val="24"/>
        </w:rPr>
        <w:t>Validación al arrancar: con ENTORNO=produccion la aplicación revisa su configuración antes de atender. Si falta la clave de Brevo, el remitente, el dominio o el certificado de Aiven, si CLAVE_SECRETA es la de ejemplo o tiene menos de 32 caracteres, o si ENTORNO está mal escrito, el servicio no arranca y el registro de Render dice qué corregir. Así un error de configuración se ve al desplegar y no cuando un agricultor intenta registrarse.</w:t>
      </w:r>
    </w:p>
    <w:p>
      <w:pPr>
        <w:pStyle w:val="ListParagraph"/>
        <w:numPr>
          <w:ilvl w:val="0"/>
          <w:numId w:val="2"/>
        </w:numPr>
        <w:spacing w:line="480"/>
      </w:pPr>
      <w:r>
        <w:rPr>
          <w:rFonts w:ascii="Times New Roman" w:cs="Times New Roman" w:eastAsia="Times New Roman" w:hAnsi="Times New Roman"/>
          <w:sz w:val="24"/>
          <w:szCs w:val="24"/>
        </w:rPr>
        <w:t>IP real detrás del proxy: Render recibe las peticiones en su proxy y las reenvía con la cabecera X-Forwarded-For, una lista de direcciones a la que cada proxy agrega la suya al final; las primeras las puede inventar el cliente. Por eso el límite de peticiones cuenta la dirección que está en la posición PROXY_SALTOS contando desde la derecha, y Uvicorn corre con --no-proxy-headers para que esa decisión sea solo de la aplicación. Render no documenta cuántos proxies hay; el valor (3) se comprueba después de desplegar con scripts/verificar_limite_ip.py: si el intento 11 responde 429, inventar la IP no sirve.</w:t>
      </w:r>
    </w:p>
    <w:p>
      <w:pPr>
        <w:pStyle w:val="ListParagraph"/>
        <w:numPr>
          <w:ilvl w:val="0"/>
          <w:numId w:val="2"/>
        </w:numPr>
        <w:spacing w:line="480"/>
      </w:pPr>
      <w:r>
        <w:rPr>
          <w:rFonts w:ascii="Times New Roman" w:cs="Times New Roman" w:eastAsia="Times New Roman" w:hAnsi="Times New Roman"/>
          <w:sz w:val="24"/>
          <w:szCs w:val="24"/>
        </w:rPr>
        <w:t>Cierre de sesión: la sesión dura como máximo 12 horas y se cierra tras 30 minutos sin uso, como pide el nivel 2 de OWASP ASVS 4.0.3 (requisito 3.3.2) para una aplicación con datos personales y financieros. El servidor lo aplica con TOKEN.expira_en y TOKEN.usado_en; el dispositivo lo aplica también (src/sesion.js) para que la sesión se cierre aunque el teléfono esté sin señal. Para no romper el trabajo sin internet, al ingresar se guarda un verificador PBKDF2-SHA256 de la clave (sal aleatoria y 600.000 repeticiones, recomendación de OWASP) con el que la última cuenta puede volver a entrar sin conexión; la clave nunca se guarda y tras 5 intentos fallidos se exige internet. La versión anterior mantenía la sesión 30 días (nivel 1 de ASVS); el cambio se registró como DEF-16.</w:t>
      </w:r>
    </w:p>
    <w:p>
      <w:pPr>
        <w:pStyle w:val="Heading2"/>
        <w:keepNext/>
        <w:spacing w:line="480"/>
      </w:pPr>
      <w:r>
        <w:rPr>
          <w:rFonts w:ascii="Times New Roman" w:cs="Times New Roman" w:eastAsia="Times New Roman" w:hAnsi="Times New Roman"/>
          <w:b/>
          <w:bCs/>
          <w:sz w:val="24"/>
          <w:szCs w:val="24"/>
        </w:rPr>
        <w:t xml:space="preserve">Correo de los códigos OTP</w:t>
      </w:r>
    </w:p>
    <w:p>
      <w:pPr>
        <w:spacing w:after="0" w:line="480"/>
        <w:ind w:firstLine="720"/>
      </w:pPr>
      <w:r>
        <w:rPr>
          <w:rFonts w:ascii="Times New Roman" w:cs="Times New Roman" w:eastAsia="Times New Roman" w:hAnsi="Times New Roman"/>
          <w:sz w:val="24"/>
          <w:szCs w:val="24"/>
        </w:rPr>
        <w:t>El correo de los códigos se envía siempre por la API HTTPS de Brevo, en todos los entornos: usa el puerto 443, que ningún alojamiento bloquea (el plan gratuito de Render, por ejemplo, bloquea los puertos de SMTP), y responde de inmediato si el envío falla. El plan gratuito permite 300 correos al día, suficientes para la prueba piloto; si el volumen crece, se cambia de plan sin modificar el código. El correo no incluye enlaces, para que no se confunda con phishing (engaño para robar datos).</w:t>
      </w:r>
    </w:p>
    <w:p>
      <w:pPr>
        <w:pBdr>
          <w:left w:val="single" w:color="000000" w:sz="12" w:space="6"/>
        </w:pBdr>
        <w:spacing w:after="0" w:line="240"/>
        <w:ind w:left="360" w:right="360"/>
      </w:pPr>
      <w:r>
        <w:rPr>
          <w:rFonts w:ascii="Courier New" w:cs="Courier New" w:eastAsia="Courier New" w:hAnsi="Courier New"/>
          <w:sz w:val="18"/>
          <w:szCs w:val="18"/>
        </w:rPr>
        <w:t xml:space="preserve">Asunto: Su código de Sembrando Futuro</w:t>
      </w:r>
    </w:p>
    <w:p>
      <w:pPr>
        <w:pBdr>
          <w:left w:val="single" w:color="000000" w:sz="12" w:space="6"/>
        </w:pBdr>
        <w:spacing w:after="0" w:line="240"/>
        <w:ind w:left="360" w:right="360"/>
      </w:pPr>
      <w:r>
        <w:rPr>
          <w:rFonts w:ascii="Courier New" w:cs="Courier New" w:eastAsia="Courier New" w:hAnsi="Courier New"/>
          <w:sz w:val="18"/>
          <w:szCs w:val="18"/>
        </w:rPr>
        <w:t xml:space="preserve"> </w:t>
      </w:r>
    </w:p>
    <w:p>
      <w:pPr>
        <w:pBdr>
          <w:left w:val="single" w:color="000000" w:sz="12" w:space="6"/>
        </w:pBdr>
        <w:spacing w:after="0" w:line="240"/>
        <w:ind w:left="360" w:right="360"/>
      </w:pPr>
      <w:r>
        <w:rPr>
          <w:rFonts w:ascii="Courier New" w:cs="Courier New" w:eastAsia="Courier New" w:hAnsi="Courier New"/>
          <w:sz w:val="18"/>
          <w:szCs w:val="18"/>
        </w:rPr>
        <w:t xml:space="preserve">Hola, María:</w:t>
      </w:r>
    </w:p>
    <w:p>
      <w:pPr>
        <w:pBdr>
          <w:left w:val="single" w:color="000000" w:sz="12" w:space="6"/>
        </w:pBdr>
        <w:spacing w:after="0" w:line="240"/>
        <w:ind w:left="360" w:right="360"/>
      </w:pPr>
      <w:r>
        <w:rPr>
          <w:rFonts w:ascii="Courier New" w:cs="Courier New" w:eastAsia="Courier New" w:hAnsi="Courier New"/>
          <w:sz w:val="18"/>
          <w:szCs w:val="18"/>
        </w:rPr>
        <w:t xml:space="preserve">Su código de verificación es 482915.</w:t>
      </w:r>
    </w:p>
    <w:p>
      <w:pPr>
        <w:pBdr>
          <w:left w:val="single" w:color="000000" w:sz="12" w:space="6"/>
        </w:pBdr>
        <w:spacing w:after="0" w:line="240"/>
        <w:ind w:left="360" w:right="360"/>
      </w:pPr>
      <w:r>
        <w:rPr>
          <w:rFonts w:ascii="Courier New" w:cs="Courier New" w:eastAsia="Courier New" w:hAnsi="Courier New"/>
          <w:sz w:val="18"/>
          <w:szCs w:val="18"/>
        </w:rPr>
        <w:t>El código vence en 15 minutos. Si usted no creó una cuenta, ignore este mensaje.</w:t>
      </w:r>
    </w:p>
    <w:p>
      <w:pPr>
        <w:pBdr>
          <w:left w:val="single" w:color="000000" w:sz="12" w:space="6"/>
        </w:pBdr>
        <w:spacing w:after="160" w:line="240"/>
        <w:ind w:left="360" w:right="360"/>
      </w:pPr>
      <w:r>
        <w:rPr>
          <w:rFonts w:ascii="Courier New" w:cs="Courier New" w:eastAsia="Courier New" w:hAnsi="Courier New"/>
          <w:sz w:val="18"/>
          <w:szCs w:val="18"/>
        </w:rPr>
        <w:t xml:space="preserve">Nunca comparta este código con nadie.</w:t>
      </w:r>
    </w:p>
    <w:p>
      <w:pPr>
        <w:pStyle w:val="Heading2"/>
        <w:keepNext/>
        <w:spacing w:line="480"/>
      </w:pPr>
      <w:r>
        <w:rPr>
          <w:rFonts w:ascii="Times New Roman" w:cs="Times New Roman" w:eastAsia="Times New Roman" w:hAnsi="Times New Roman"/>
          <w:b/>
          <w:bCs/>
          <w:sz w:val="24"/>
          <w:szCs w:val="24"/>
        </w:rPr>
        <w:t xml:space="preserve">Variables de entorno</w:t>
      </w:r>
    </w:p>
    <w:p>
      <w:pPr>
        <w:keepNext/>
        <w:spacing w:after="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Variables de entorno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rPr>
          <w:tblHeader/>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Variable</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Ejemplo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Descripción</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ENTORNO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produccion</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desarrollo, pruebas o produccion, sin tilde (produccion es el modo del despliegue en Render); con otro valor la aplicación no arranca</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CLAVE_SECRETA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(secreta)</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Clave interna del servidor que se mezcla con los hash de tokens y códigos OTP; en el despliegue debe tener 32 caracteres o más (Render la genera) y nunca se sube al repositorio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DB_HOST, DB_PORT, DB_NAME, DB_USER, DB_PASSWORD</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localhost, 3306, sembrando_futuro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Conexión a la base de datos, leída del archivo .env en desarrollo y del panel de Render en el despliegue; el repositorio solo trae .env.example sin claves</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DB_SSL_CA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ca.pem</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Solo en el despliegue: certificado de la autoridad de Aiven (la base exige conexión cifrada). Una ruta relativa se busca en la carpeta backend (backend/ca.pem); si el archivo no existe, la migración y el arranque se detienen con un mensaje claro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DOMINIO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sembrando-futuro.onrender.com,midominio.co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Dominios permitidos (hosts de confianza), separados por coma: el de Render y, si se usa, el dominio propio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CORS_ORIGENES</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(vacío)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Orígenes permitidos por CORS, separados por coma; vacío cuando la PWA y el servicio salen del mismo dominio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PROXY_CONFIABLE</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si</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Escribir «si» solo detrás del proxy de confianza del alojamiento (Render), para contar los límites por la IP real del visitante; por defecto «no»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PROXY_SALTOS</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3</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Posición de la IP real contada desde la derecha de X-Forwarded-For; el valor de Render se comprueba después de desplegar con scripts/verificar_limite_ip.py</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PYTHON_VERSION</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3.14.7</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Solo en Render: fija la versión de Python del servicio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BREVO_API_KEY</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(secreta)</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Clave de la API de correo de Brevo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CORREO_REMITENTE</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mikaelramos@unicomfacauca.edu.co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Remitente de los códigos OTP; debe estar verificado en Brevo</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OTP_FIJO_PRUEBAS</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482915</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Solo en pruebas; en el despliegue no existe</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SESION_HORAS</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12</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Duración máxima de la sesión en horas, aunque se use sin parar (V-46 al vencer)</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SESION_INACTIVIDAD_MIN</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30</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Minutos sin peticiones después de los cuales el servidor revoca la sesión (V-51)</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LIMITE_REGISTRO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5/hora</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Límite por IP de A-01</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LIMITE_INGRESO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10/minuto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Límite por IP de A-02 y A-05</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LIMITE_REENVIO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6/hora</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Límite por IP de A-03 y A-04</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LIMITE_GENERAL</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120/minuto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Límite por IP de A-06, C-01, S-01, S-02, R-01 y AD-01 a AD-05</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LIMITE_SALUD</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30/minuto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Límite por IP de H-01</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CORREO_CONTACTO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mikaelramos@unicomfacauca.edu.co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 muestra en la vista «Política de datos y ayuda» (se abre con un enlace desde P-01, P-02 y P-26)</w:t>
            </w:r>
          </w:p>
        </w:tc>
      </w:tr>
      <w:tr>
        <w:trPr>
          <w:cantSplit/>
        </w:trPr>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DATABASE_URL, CARPETA_PWA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(vacío)</w:t>
            </w:r>
          </w:p>
        </w:tc>
        <w:tc>
          <w:tcPr>
            <w:tcW w:type="dxa" w:w="3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Opcionales. DATABASE_URL reemplaza a las variables DB_* (la usan las pruebas con SQLite); CARPETA_PWA cambia la carpeta de la PWA (por defecto, la carpeta frontend)</w:t>
            </w:r>
          </w:p>
        </w:tc>
      </w:tr>
    </w:tbl>
    <w:p>
      <w:pPr>
        <w:pStyle w:val="Heading2"/>
        <w:keepNext/>
        <w:spacing w:line="480"/>
      </w:pPr>
      <w:r>
        <w:rPr>
          <w:rFonts w:ascii="Times New Roman" w:cs="Times New Roman" w:eastAsia="Times New Roman" w:hAnsi="Times New Roman"/>
          <w:b/>
          <w:bCs/>
          <w:sz w:val="24"/>
          <w:szCs w:val="24"/>
        </w:rPr>
        <w:t xml:space="preserve">Tareas programadas</w:t>
      </w:r>
    </w:p>
    <w:p>
      <w:pPr>
        <w:keepNext/>
        <w:spacing w:after="0" w:line="240"/>
      </w:pPr>
      <w:r>
        <w:rPr>
          <w:rFonts w:ascii="Times New Roman" w:cs="Times New Roman" w:eastAsia="Times New Roman" w:hAnsi="Times New Roman"/>
          <w:b/>
          <w:bCs/>
          <w:sz w:val="24"/>
          <w:szCs w:val="24"/>
        </w:rPr>
        <w:t xml:space="preserve">Tabla 5</w:t>
      </w:r>
    </w:p>
    <w:p>
      <w:pPr>
        <w:keepNext/>
        <w:spacing w:after="120" w:line="240"/>
      </w:pPr>
      <w:r>
        <w:rPr>
          <w:rFonts w:ascii="Times New Roman" w:cs="Times New Roman" w:eastAsia="Times New Roman" w:hAnsi="Times New Roman"/>
          <w:i/>
          <w:iCs/>
          <w:sz w:val="24"/>
          <w:szCs w:val="24"/>
        </w:rPr>
        <w:t xml:space="preserve">Tareas automáticas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4160"/>
        <w:gridCol w:w="1300"/>
      </w:tblGrid>
      <w:tr>
        <w:trPr>
          <w:tblHeader/>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Tarea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Frecuencia</w:t>
            </w:r>
          </w:p>
        </w:tc>
        <w:tc>
          <w:tcPr>
            <w:tcW w:type="dxa" w:w="4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Qué hace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limpiar_pendientes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Al arrancar y en cada registro (A-01) o ingreso (A-05), como máximo una vez por minuto</w:t>
            </w:r>
          </w:p>
        </w:tc>
        <w:tc>
          <w:tcPr>
            <w:tcW w:type="dxa" w:w="4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Elimina las cuentas PENDIENTE con más de 24 horas; por cascada se van sus códigos y tokens, y el correo queda libre</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V-15</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limpiar_bloqueos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Al arrancar y en cada registro (A-01) o ingreso (A-05), como máximo una vez por minuto</w:t>
            </w:r>
          </w:p>
        </w:tc>
        <w:tc>
          <w:tcPr>
            <w:tcW w:type="dxa" w:w="4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Quita el bloqueo de las cuentas cuyo plazo de 15 minutos terminó</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V-18</w:t>
            </w:r>
          </w:p>
        </w:tc>
      </w:tr>
      <w:tr>
        <w:trPr>
          <w:cantSplit/>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limpiar_vencidos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Manual: python -m app.cli limpiar_vencidos</w:t>
            </w:r>
          </w:p>
        </w:tc>
        <w:tc>
          <w:tcPr>
            <w:tcW w:type="dxa" w:w="4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Borra los códigos OTP (código de un solo uso de 6 dígitos que llega al correo) usados o vencidos hace más de 24 horas, los tokens vencidos o revocados hace más de 30 días y los fallos de ingreso sin bloqueo vigente y sin cambios en 24 horas</w:t>
            </w:r>
          </w:p>
        </w:tc>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V-11, V-18, V-46</w:t>
            </w:r>
          </w:p>
        </w:tc>
      </w:tr>
    </w:tbl>
    <w:p>
      <w:pPr>
        <w:pStyle w:val="Heading2"/>
        <w:keepNext/>
        <w:spacing w:line="480"/>
      </w:pPr>
      <w:r>
        <w:rPr>
          <w:rFonts w:ascii="Times New Roman" w:cs="Times New Roman" w:eastAsia="Times New Roman" w:hAnsi="Times New Roman"/>
          <w:b/>
          <w:bCs/>
          <w:sz w:val="24"/>
          <w:szCs w:val="24"/>
        </w:rPr>
        <w:t xml:space="preserve">Flujo de trabajo del equipo</w:t>
      </w:r>
    </w:p>
    <w:p>
      <w:pPr>
        <w:pStyle w:val="ListParagraph"/>
        <w:numPr>
          <w:ilvl w:val="0"/>
          <w:numId w:val="2"/>
        </w:numPr>
        <w:spacing w:line="480"/>
      </w:pPr>
      <w:r>
        <w:rPr>
          <w:rFonts w:ascii="Times New Roman" w:cs="Times New Roman" w:eastAsia="Times New Roman" w:hAnsi="Times New Roman"/>
          <w:sz w:val="24"/>
          <w:szCs w:val="24"/>
        </w:rPr>
        <w:t xml:space="preserve">Scrum: el trabajo se organiza en sprints de dos semanas; cada sprint termina con una demostración del incremento, una retrospectiva (reunión para decidir qué mejorar) y el informe de métricas del documento 23.</w:t>
      </w:r>
    </w:p>
    <w:p>
      <w:pPr>
        <w:pStyle w:val="ListParagraph"/>
        <w:numPr>
          <w:ilvl w:val="0"/>
          <w:numId w:val="2"/>
        </w:numPr>
        <w:spacing w:line="480"/>
      </w:pPr>
      <w:r>
        <w:rPr>
          <w:rFonts w:ascii="Times New Roman" w:cs="Times New Roman" w:eastAsia="Times New Roman" w:hAnsi="Times New Roman"/>
          <w:sz w:val="24"/>
          <w:szCs w:val="24"/>
        </w:rPr>
        <w:t xml:space="preserve">Repositorio en GitHub (sitio para guardar y compartir código) con dos ramas permanentes: main (lo que se entrega) y develop (lo que se integra). Cada funcionalidad se trabaja en una rama feature/RF-xx y entra a develop con un pull request (solicitud de integración) revisado por el otro integrante.</w:t>
      </w:r>
    </w:p>
    <w:p>
      <w:pPr>
        <w:pStyle w:val="ListParagraph"/>
        <w:numPr>
          <w:ilvl w:val="0"/>
          <w:numId w:val="2"/>
        </w:numPr>
        <w:spacing w:line="480"/>
      </w:pPr>
      <w:r>
        <w:rPr>
          <w:rFonts w:ascii="Times New Roman" w:cs="Times New Roman" w:eastAsia="Times New Roman" w:hAnsi="Times New Roman"/>
          <w:sz w:val="24"/>
          <w:szCs w:val="24"/>
        </w:rPr>
        <w:t xml:space="preserve">Mensajes de commit en español con el formato «tipo(RF-xx): resumen», por ejemplo «feat(RF-18): calcular matas (plantas, en el lenguaje del campo) por hectárea».</w:t>
      </w:r>
    </w:p>
    <w:p>
      <w:pPr>
        <w:pStyle w:val="ListParagraph"/>
        <w:numPr>
          <w:ilvl w:val="0"/>
          <w:numId w:val="2"/>
        </w:numPr>
        <w:spacing w:line="480"/>
      </w:pPr>
      <w:r>
        <w:rPr>
          <w:rFonts w:ascii="Times New Roman" w:cs="Times New Roman" w:eastAsia="Times New Roman" w:hAnsi="Times New Roman"/>
          <w:sz w:val="24"/>
          <w:szCs w:val="24"/>
        </w:rPr>
        <w:t>Integración continua con GitHub Actions: en cada pull request se revisa el estilo (flake8 y ESLint), se ejecutan las pruebas de pytest y de node:test, se mide la cobertura y se analiza con SonarCloud. Un pull request solo se acepta si la cobertura es de al menos 80 %, la complejidad ciclomática (número de caminos de una función) es de 10 o menos y la duplicación es de 5 % o menos. Cada ejecución guarda además el archivo requirements.lock (pip freeze) con las versiones exactas que pasaron las pruebas; ese archivo se copia a requirements.txt para que la instalación sea reproducible. Mientras no se haga, requirements.txt fija solo versiones mínimas. El 29 de octubre de 2026 se ejecutaron en el entorno de desarrollo flake8 7.4.1 y ESLint 10.1.0 con la misma configuración: 0 errores de estilo y ninguna función con complejidad mayor que 10 (documento 23, M-17 y M-19). SonarCloud queda para la primera ejecución en GitHub.</w:t>
      </w:r>
    </w:p>
    <w:p>
      <w:pPr>
        <w:pStyle w:val="ListParagraph"/>
        <w:numPr>
          <w:ilvl w:val="0"/>
          <w:numId w:val="2"/>
        </w:numPr>
        <w:spacing w:line="480"/>
      </w:pPr>
      <w:r>
        <w:rPr>
          <w:rFonts w:ascii="Times New Roman" w:cs="Times New Roman" w:eastAsia="Times New Roman" w:hAnsi="Times New Roman"/>
          <w:sz w:val="24"/>
          <w:szCs w:val="24"/>
        </w:rPr>
        <w:t xml:space="preserve">Cada defecto encontrado se registra con el identificador del caso de prueba que lo detectó, y se corrige antes de pasar al siguiente incremento.</w:t>
      </w:r>
    </w:p>
    <w:p>
      <w:pPr>
        <w:pStyle w:val="Heading2"/>
        <w:keepNext/>
        <w:spacing w:line="480"/>
      </w:pPr>
      <w:r>
        <w:rPr>
          <w:rFonts w:ascii="Times New Roman" w:cs="Times New Roman" w:eastAsia="Times New Roman" w:hAnsi="Times New Roman"/>
          <w:b/>
          <w:bCs/>
          <w:sz w:val="24"/>
          <w:szCs w:val="24"/>
        </w:rPr>
        <w:t xml:space="preserve">Estructura del repositorio</w:t>
      </w:r>
    </w:p>
    <w:p>
      <w:pPr>
        <w:pBdr>
          <w:left w:val="single" w:color="000000" w:sz="12" w:space="6"/>
        </w:pBdr>
        <w:spacing w:after="0" w:line="240"/>
        <w:ind w:left="360" w:right="360"/>
      </w:pPr>
      <w:r>
        <w:rPr>
          <w:rFonts w:ascii="Courier New" w:cs="Courier New" w:eastAsia="Courier New" w:hAnsi="Courier New"/>
          <w:sz w:val="18"/>
          <w:szCs w:val="18"/>
        </w:rPr>
        <w:t xml:space="preserve">sembrando-futuro/</w:t>
      </w:r>
    </w:p>
    <w:p>
      <w:pPr>
        <w:pBdr>
          <w:left w:val="single" w:color="000000" w:sz="12" w:space="6"/>
        </w:pBdr>
        <w:spacing w:after="0" w:line="240"/>
        <w:ind w:left="360" w:right="360"/>
      </w:pPr>
      <w:r>
        <w:rPr>
          <w:rFonts w:ascii="Courier New" w:cs="Courier New" w:eastAsia="Courier New" w:hAnsi="Courier New"/>
          <w:sz w:val="18"/>
          <w:szCs w:val="18"/>
        </w:rPr>
        <w:t xml:space="preserve">  backend/            FastAPI (Python 3.14.7)</w:t>
      </w:r>
    </w:p>
    <w:p>
      <w:pPr>
        <w:pBdr>
          <w:left w:val="single" w:color="000000" w:sz="12" w:space="6"/>
        </w:pBdr>
        <w:spacing w:after="0" w:line="240"/>
        <w:ind w:left="360" w:right="360"/>
      </w:pPr>
      <w:r>
        <w:rPr>
          <w:rFonts w:ascii="Courier New" w:cs="Courier New" w:eastAsia="Courier New" w:hAnsi="Courier New"/>
          <w:sz w:val="18"/>
          <w:szCs w:val="18"/>
        </w:rPr>
        <w:t xml:space="preserve">    app/</w:t>
      </w:r>
    </w:p>
    <w:p>
      <w:pPr>
        <w:pBdr>
          <w:left w:val="single" w:color="000000" w:sz="12" w:space="6"/>
        </w:pBdr>
        <w:spacing w:after="0" w:line="240"/>
        <w:ind w:left="360" w:right="360"/>
      </w:pPr>
      <w:r>
        <w:rPr>
          <w:rFonts w:ascii="Courier New" w:cs="Courier New" w:eastAsia="Courier New" w:hAnsi="Courier New"/>
          <w:sz w:val="18"/>
          <w:szCs w:val="18"/>
        </w:rPr>
        <w:t xml:space="preserve">      main.py         crea la aplicación, registra las rutas y los manejadores de error</w:t>
      </w:r>
    </w:p>
    <w:p>
      <w:pPr>
        <w:pBdr>
          <w:left w:val="single" w:color="000000" w:sz="12" w:space="6"/>
        </w:pBdr>
        <w:spacing w:after="0" w:line="240"/>
        <w:ind w:left="360" w:right="360"/>
      </w:pPr>
      <w:r>
        <w:rPr>
          <w:rFonts w:ascii="Courier New" w:cs="Courier New" w:eastAsia="Courier New" w:hAnsi="Courier New"/>
          <w:sz w:val="18"/>
          <w:szCs w:val="18"/>
        </w:rPr>
        <w:t xml:space="preserve">      cli.py          comandos crear_admin, cargar_semilla, cargar_prueba, listar_cuentas, resumen_cuenta, cambiar_clave, eliminar_cuenta, limpiar_pendientes, limpiar_bloqueos y limpiar_vencidos</w:t>
      </w:r>
    </w:p>
    <w:p>
      <w:pPr>
        <w:pBdr>
          <w:left w:val="single" w:color="000000" w:sz="12" w:space="6"/>
        </w:pBdr>
        <w:spacing w:after="0" w:line="240"/>
        <w:ind w:left="360" w:right="360"/>
      </w:pPr>
      <w:r>
        <w:rPr>
          <w:rFonts w:ascii="Courier New" w:cs="Courier New" w:eastAsia="Courier New" w:hAnsi="Courier New"/>
          <w:sz w:val="18"/>
          <w:szCs w:val="18"/>
        </w:rPr>
        <w:t xml:space="preserve">      routers/        auth, catalogo, sync, ciclos, salud y admin (servicios A, C, S, R, H y AD)</w:t>
      </w:r>
    </w:p>
    <w:p>
      <w:pPr>
        <w:pBdr>
          <w:left w:val="single" w:color="000000" w:sz="12" w:space="6"/>
        </w:pBdr>
        <w:spacing w:after="0" w:line="240"/>
        <w:ind w:left="360" w:right="360"/>
      </w:pPr>
      <w:r>
        <w:rPr>
          <w:rFonts w:ascii="Courier New" w:cs="Courier New" w:eastAsia="Courier New" w:hAnsi="Courier New"/>
          <w:sz w:val="18"/>
          <w:szCs w:val="18"/>
        </w:rPr>
        <w:t xml:space="preserve">      schemas/        esquemas Pydantic de entrada y de salida</w:t>
      </w:r>
    </w:p>
    <w:p>
      <w:pPr>
        <w:pBdr>
          <w:left w:val="single" w:color="000000" w:sz="12" w:space="6"/>
        </w:pBdr>
        <w:spacing w:after="0" w:line="240"/>
        <w:ind w:left="360" w:right="360"/>
      </w:pPr>
      <w:r>
        <w:rPr>
          <w:rFonts w:ascii="Courier New" w:cs="Courier New" w:eastAsia="Courier New" w:hAnsi="Courier New"/>
          <w:sz w:val="18"/>
          <w:szCs w:val="18"/>
        </w:rPr>
        <w:t xml:space="preserve">      services/       lógica de aplicación: cuentas, otp, catalogo, sync, resumen y admin</w:t>
      </w:r>
    </w:p>
    <w:p>
      <w:pPr>
        <w:pBdr>
          <w:left w:val="single" w:color="000000" w:sz="12" w:space="6"/>
        </w:pBdr>
        <w:spacing w:after="0" w:line="240"/>
        <w:ind w:left="360" w:right="360"/>
      </w:pPr>
      <w:r>
        <w:rPr>
          <w:rFonts w:ascii="Courier New" w:cs="Courier New" w:eastAsia="Courier New" w:hAnsi="Courier New"/>
          <w:sz w:val="18"/>
          <w:szCs w:val="18"/>
        </w:rPr>
        <w:t xml:space="preserve">      domain/         fórmulas (matas, área efectiva, utilidad) y reglas V-xx puras</w:t>
      </w:r>
    </w:p>
    <w:p>
      <w:pPr>
        <w:pBdr>
          <w:left w:val="single" w:color="000000" w:sz="12" w:space="6"/>
        </w:pBdr>
        <w:spacing w:after="0" w:line="240"/>
        <w:ind w:left="360" w:right="360"/>
      </w:pPr>
      <w:r>
        <w:rPr>
          <w:rFonts w:ascii="Courier New" w:cs="Courier New" w:eastAsia="Courier New" w:hAnsi="Courier New"/>
          <w:sz w:val="18"/>
          <w:szCs w:val="18"/>
        </w:rPr>
        <w:t xml:space="preserve">      models/         modelos SQLAlchemy: usuario, cultivo, ficha_tecnica, finca, ciclo, ciclo_cultivo, gasto, jornal, ingreso</w:t>
      </w:r>
    </w:p>
    <w:p>
      <w:pPr>
        <w:pBdr>
          <w:left w:val="single" w:color="000000" w:sz="12" w:space="6"/>
        </w:pBdr>
        <w:spacing w:after="0" w:line="240"/>
        <w:ind w:left="360" w:right="360"/>
      </w:pPr>
      <w:r>
        <w:rPr>
          <w:rFonts w:ascii="Courier New" w:cs="Courier New" w:eastAsia="Courier New" w:hAnsi="Courier New"/>
          <w:sz w:val="18"/>
          <w:szCs w:val="18"/>
        </w:rPr>
        <w:t xml:space="preserve">      database/       connection.py: motor, sesión y get_db (lee el archivo .env)</w:t>
      </w:r>
    </w:p>
    <w:p>
      <w:pPr>
        <w:pBdr>
          <w:left w:val="single" w:color="000000" w:sz="12" w:space="6"/>
        </w:pBdr>
        <w:spacing w:after="0" w:line="240"/>
        <w:ind w:left="360" w:right="360"/>
      </w:pPr>
      <w:r>
        <w:rPr>
          <w:rFonts w:ascii="Courier New" w:cs="Courier New" w:eastAsia="Courier New" w:hAnsi="Courier New"/>
          <w:sz w:val="18"/>
          <w:szCs w:val="18"/>
        </w:rPr>
        <w:t xml:space="preserve">      core/           config.py (variables del .env), seguridad.py (Argon2, tokens y exigir_admin),</w:t>
      </w:r>
    </w:p>
    <w:p>
      <w:pPr>
        <w:pBdr>
          <w:left w:val="single" w:color="000000" w:sz="12" w:space="6"/>
        </w:pBdr>
        <w:spacing w:after="0" w:line="240"/>
        <w:ind w:left="360" w:right="360"/>
      </w:pPr>
      <w:r>
        <w:rPr>
          <w:rFonts w:ascii="Courier New" w:cs="Courier New" w:eastAsia="Courier New" w:hAnsi="Courier New"/>
          <w:sz w:val="18"/>
          <w:szCs w:val="18"/>
        </w:rPr>
        <w:t xml:space="preserve">                  errores.py (códigos V-xx y E-xx) y limites.py (límite de peticiones por IP)</w:t>
      </w:r>
    </w:p>
    <w:p>
      <w:pPr>
        <w:pBdr>
          <w:left w:val="single" w:color="000000" w:sz="12" w:space="6"/>
        </w:pBdr>
        <w:spacing w:after="0" w:line="240"/>
        <w:ind w:left="360" w:right="360"/>
      </w:pPr>
      <w:r>
        <w:rPr>
          <w:rFonts w:ascii="Courier New" w:cs="Courier New" w:eastAsia="Courier New" w:hAnsi="Courier New"/>
          <w:sz w:val="18"/>
          <w:szCs w:val="18"/>
        </w:rPr>
        <w:t xml:space="preserve">    alembic/          migraciones del esquema</w:t>
      </w:r>
    </w:p>
    <w:p>
      <w:pPr>
        <w:pBdr>
          <w:left w:val="single" w:color="000000" w:sz="12" w:space="6"/>
        </w:pBdr>
        <w:spacing w:after="0" w:line="240"/>
        <w:ind w:left="360" w:right="360"/>
      </w:pPr>
      <w:r>
        <w:rPr>
          <w:rFonts w:ascii="Courier New" w:cs="Courier New" w:eastAsia="Courier New" w:hAnsi="Courier New"/>
          <w:sz w:val="18"/>
          <w:szCs w:val="18"/>
        </w:rPr>
        <w:t xml:space="preserve">    tests/            pytest</w:t>
      </w:r>
    </w:p>
    <w:p>
      <w:pPr>
        <w:pBdr>
          <w:left w:val="single" w:color="000000" w:sz="12" w:space="6"/>
        </w:pBdr>
        <w:spacing w:after="0" w:line="240"/>
        <w:ind w:left="360" w:right="360"/>
      </w:pPr>
      <w:r>
        <w:rPr>
          <w:rFonts w:ascii="Courier New" w:cs="Courier New" w:eastAsia="Courier New" w:hAnsi="Courier New"/>
          <w:sz w:val="18"/>
          <w:szCs w:val="18"/>
        </w:rPr>
        <w:t xml:space="preserve">    requirements.txt  requirements-dev.txt  .flake8  .env.example  .python-version</w:t>
      </w:r>
    </w:p>
    <w:p>
      <w:pPr>
        <w:pBdr>
          <w:left w:val="single" w:color="000000" w:sz="12" w:space="6"/>
        </w:pBdr>
        <w:spacing w:after="0" w:line="240"/>
        <w:ind w:left="360" w:right="360"/>
      </w:pPr>
      <w:r>
        <w:rPr>
          <w:rFonts w:ascii="Courier New" w:cs="Courier New" w:eastAsia="Courier New" w:hAnsi="Courier New"/>
          <w:sz w:val="18"/>
          <w:szCs w:val="18"/>
        </w:rPr>
        <w:t xml:space="preserve">  frontend/           PWA: src/pantallas (P-01 a P-28), src/calculos, src/db (IndexedDB), vendor (Bootstrap), fonts (Inter), sw.js, eslint.config.js</w:t>
      </w:r>
    </w:p>
    <w:p>
      <w:pPr>
        <w:pBdr>
          <w:left w:val="single" w:color="000000" w:sz="12" w:space="6"/>
        </w:pBdr>
        <w:spacing w:after="0" w:line="240"/>
        <w:ind w:left="360" w:right="360"/>
      </w:pPr>
      <w:r>
        <w:rPr>
          <w:rFonts w:ascii="Courier New" w:cs="Courier New" w:eastAsia="Courier New" w:hAnsi="Courier New"/>
          <w:sz w:val="18"/>
          <w:szCs w:val="18"/>
        </w:rPr>
        <w:t xml:space="preserve">  datos/              semilla_catalogo.json, datos_prueba.json</w:t>
      </w:r>
    </w:p>
    <w:p>
      <w:pPr>
        <w:pBdr>
          <w:left w:val="single" w:color="000000" w:sz="12" w:space="6"/>
        </w:pBdr>
        <w:spacing w:after="0" w:line="240"/>
        <w:ind w:left="360" w:right="360"/>
      </w:pPr>
      <w:r>
        <w:rPr>
          <w:rFonts w:ascii="Courier New" w:cs="Courier New" w:eastAsia="Courier New" w:hAnsi="Courier New"/>
          <w:sz w:val="18"/>
          <w:szCs w:val="18"/>
        </w:rPr>
        <w:t xml:space="preserve">  docs/               los documentos 01 a 24</w:t>
      </w:r>
    </w:p>
    <w:p>
      <w:pPr>
        <w:pBdr>
          <w:left w:val="single" w:color="000000" w:sz="12" w:space="6"/>
        </w:pBdr>
        <w:spacing w:after="160" w:line="240"/>
        <w:ind w:left="360" w:right="360"/>
      </w:pPr>
      <w:r>
        <w:rPr>
          <w:rFonts w:ascii="Courier New" w:cs="Courier New" w:eastAsia="Courier New" w:hAnsi="Courier New"/>
          <w:sz w:val="18"/>
          <w:szCs w:val="18"/>
        </w:rPr>
        <w:t xml:space="preserve">  .github/workflows/  integración continua      sonar-project.properties  análisis de calidad  render.yaml  despliegue</w:t>
      </w:r>
    </w:p>
    <w:p>
      <w:pPr>
        <w:pStyle w:val="Heading2"/>
        <w:keepNext/>
        <w:spacing w:line="480"/>
      </w:pPr>
      <w:r>
        <w:rPr>
          <w:rFonts w:ascii="Times New Roman" w:cs="Times New Roman" w:eastAsia="Times New Roman" w:hAnsi="Times New Roman"/>
          <w:b/>
          <w:bCs/>
          <w:sz w:val="24"/>
          <w:szCs w:val="24"/>
        </w:rPr>
        <w:t xml:space="preserve">Pruebas automáticas</w:t>
      </w:r>
    </w:p>
    <w:p>
      <w:pPr>
        <w:keepNext/>
        <w:spacing w:after="0" w:line="240"/>
      </w:pPr>
      <w:r>
        <w:rPr>
          <w:rFonts w:ascii="Times New Roman" w:cs="Times New Roman" w:eastAsia="Times New Roman" w:hAnsi="Times New Roman"/>
          <w:b/>
          <w:bCs/>
          <w:sz w:val="24"/>
          <w:szCs w:val="24"/>
        </w:rPr>
        <w:t xml:space="preserve">Tabla 6</w:t>
      </w:r>
    </w:p>
    <w:p>
      <w:pPr>
        <w:keepNext/>
        <w:spacing w:after="120" w:line="240"/>
      </w:pPr>
      <w:r>
        <w:rPr>
          <w:rFonts w:ascii="Times New Roman" w:cs="Times New Roman" w:eastAsia="Times New Roman" w:hAnsi="Times New Roman"/>
          <w:i/>
          <w:iCs/>
          <w:sz w:val="24"/>
          <w:szCs w:val="24"/>
        </w:rPr>
        <w:t xml:space="preserve">Qué herramienta ejecuta cada tipo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Prueba</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Herramienta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Qué cubre</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Reglas del servidor, API y sincronización</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pytest</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Validaciones V-xx, servicios A, C, S, R, H y AD y tareas programadas</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Cálculos y validaciones del dispositivo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node:test</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Fórmulas de matas, área efectiva y utilidad; reglas de campos</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Flujos completos en el navegador</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Playwright</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Casos de caja negra (pruebas que no miran el código, solo entradas y salidas) del plan de pruebas, con y sin conexión</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Rendimiento y PWA</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Lighthouse</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Tiempo de respuesta, instalación, accesibilidad (RNF-01, RNF-07)</w:t>
            </w:r>
          </w:p>
        </w:tc>
      </w:tr>
    </w:tbl>
    <w:p>
      <w:pPr>
        <w:pStyle w:val="Heading2"/>
        <w:keepNext/>
        <w:spacing w:line="480"/>
      </w:pPr>
      <w:r>
        <w:rPr>
          <w:rFonts w:ascii="Times New Roman" w:cs="Times New Roman" w:eastAsia="Times New Roman" w:hAnsi="Times New Roman"/>
          <w:b/>
          <w:bCs/>
          <w:sz w:val="24"/>
          <w:szCs w:val="24"/>
        </w:rPr>
        <w:t>Funcionamiento sin conexión y calidad del producto</w:t>
      </w:r>
    </w:p>
    <w:p>
      <w:pPr>
        <w:spacing w:after="0" w:line="480"/>
        <w:ind w:firstLine="720"/>
      </w:pPr>
      <w:r>
        <w:rPr>
          <w:rFonts w:ascii="Times New Roman" w:cs="Times New Roman" w:eastAsia="Times New Roman" w:hAnsi="Times New Roman"/>
          <w:sz w:val="24"/>
          <w:szCs w:val="24"/>
        </w:rPr>
        <w:t>Sembrando Futuro es una aplicación web progresiva (PWA) que sigue funcionando cuando se pierde la conexión. La decisión responde al contexto de uso: el agricultor registra gastos, jornales e ingresos en la finca, y en las zonas rurales la señal de internet es débil o intermitente. Una aplicación que solo funcionara con conexión perdería esos registros justo donde se generan.</w:t>
      </w:r>
    </w:p>
    <w:p>
      <w:pPr>
        <w:spacing w:after="0" w:line="480"/>
        <w:ind w:firstLine="720"/>
      </w:pPr>
      <w:r>
        <w:rPr>
          <w:rFonts w:ascii="Times New Roman" w:cs="Times New Roman" w:eastAsia="Times New Roman" w:hAnsi="Times New Roman"/>
          <w:sz w:val="24"/>
          <w:szCs w:val="24"/>
        </w:rPr>
        <w:t>Funcionamiento: sin conexión, cada cambio se guarda en la base de datos local del navegador (celular o computador) y la pantalla lo muestra de inmediato. Cuando vuelve la conexión, la aplicación envía los cambios pendientes al servidor (S-01) y recibe los de otros dispositivos (S-02). Si el mismo dato cambió en dos dispositivos, gana el cambio más reciente.</w:t>
      </w:r>
    </w:p>
    <w:p>
      <w:pPr>
        <w:spacing w:after="0" w:line="480"/>
        <w:ind w:firstLine="720"/>
      </w:pPr>
      <w:r>
        <w:rPr>
          <w:rFonts w:ascii="Times New Roman" w:cs="Times New Roman" w:eastAsia="Times New Roman" w:hAnsi="Times New Roman"/>
          <w:sz w:val="24"/>
          <w:szCs w:val="24"/>
        </w:rPr>
        <w:t>Borrado lógico: para que un borrado hecho sin conexión llegue a los demás dispositivos, los gastos, jornales e ingresos no se eliminan de la base de datos; se marcan con el campo eliminado. Las fincas, los ciclos y los cultivos del ciclo no se borran desde la aplicación (un ciclo se cierra), por eso estas tres tablas no tienen ese campo.</w:t>
      </w:r>
    </w:p>
    <w:p>
      <w:pPr>
        <w:spacing w:after="0" w:line="480"/>
        <w:ind w:firstLine="720"/>
      </w:pPr>
      <w:r>
        <w:rPr>
          <w:rFonts w:ascii="Times New Roman" w:cs="Times New Roman" w:eastAsia="Times New Roman" w:hAnsi="Times New Roman"/>
          <w:sz w:val="24"/>
          <w:szCs w:val="24"/>
        </w:rPr>
        <w:t>Relación con la norma ISO/IEC 25010 (ISO/IEC, 2011): la capacidad de trabajar sin conexión aporta a la fiabilidad (tolerancia a fallos y recuperabilidad: el dato no se pierde si cae la red) y a la usabilidad (el usuario puede registrar en el sitio de trabajo sin esperar señal).</w:t>
      </w:r>
    </w:p>
    <w:p>
      <w:pPr>
        <w:spacing w:after="0" w:line="480"/>
        <w:ind w:firstLine="720"/>
      </w:pPr>
      <w:r>
        <w:rPr>
          <w:rFonts w:ascii="Times New Roman" w:cs="Times New Roman" w:eastAsia="Times New Roman" w:hAnsi="Times New Roman"/>
          <w:sz w:val="24"/>
          <w:szCs w:val="24"/>
        </w:rPr>
        <w:t>Costo asumido: la sincronización agrega complejidad (resolución de conflictos, borrado lógico y más casos de prueba). Esa complejidad se controla con las pruebas de sincronización y de punta a punta. Limitación: los cambios que aún no se han sincronizado viven solo en ese navegador; si el usuario borra los datos del navegador antes de sincronizar, se pierden.</w:t>
      </w:r>
    </w:p>
    <w:p>
      <w:pPr>
        <w:spacing w:after="0" w:line="480"/>
        <w:ind w:firstLine="720"/>
      </w:pPr>
      <w:r>
        <w:rPr>
          <w:rFonts w:ascii="Times New Roman" w:cs="Times New Roman" w:eastAsia="Times New Roman" w:hAnsi="Times New Roman"/>
          <w:sz w:val="24"/>
          <w:szCs w:val="24"/>
        </w:rPr>
        <w:t>Decisión de simplicidad: la PWA no usa herramientas de compilación ni librerías para la base de datos. Es JavaScript de módulos que el navegador carga directamente (sin paso de compilación), y el acceso a IndexedDB lo hace un envoltorio propio de unas 60 líneas (src/db/db.js). Así hay menos dependencias que instalar, actualizar y vigilar, y el servicio publica la carpeta frontend tal cual. Las pruebas del dispositivo usan node:test, incluido en Node 22, en lugar de Vitest.</w:t>
      </w:r>
    </w:p>
    <w:p>
      <w:pPr>
        <w:spacing w:after="0" w:line="480"/>
        <w:ind w:firstLine="720"/>
      </w:pPr>
      <w:r>
        <w:rPr>
          <w:rFonts w:ascii="Times New Roman" w:cs="Times New Roman" w:eastAsia="Times New Roman" w:hAnsi="Times New Roman"/>
          <w:sz w:val="24"/>
          <w:szCs w:val="24"/>
        </w:rPr>
        <w:t>Decisión de interfaz: la apariencia usa la hoja de estilos de Bootstrap 5.3.3 (licencia MIT), sin su JavaScript, y la tipografía Inter (licencia OFL); ambas se copian dentro de frontend/ (vendor/ y fonts/) y el Service Worker las guarda, de modo que la aplicación se ve igual sin internet y no depende de una red de distribución externa (la política de contenido solo permite recursos propios). Los íconos son SVG propios en línea (src/iconos.js). Los colores, el radio de las esquinas y los tamaños se definen como variables en src/estilos.css, con tema claro y oscuro. Se conserva lo exigido por el RNF-07: texto base de 18 px, controles de al menos 48 px y contraste de al menos 4,5:1, que la prueba CP-RNF-07 mide sobre la aplicación. Las etiquetas secundarias (pestañas e indicadores) usan 16 px. El diseño usa el verde del proyecto y el logo de Sembrando Futuro: completo en la portada y como emblema en la barra superior, en el acceso, en la barra lateral y en los íconos de la aplicación instalada (frontend/img e icons). Es adaptable con una sola base de código: en el teléfono hay una barra verde superior con el emblema y el título, y cinco pestañas abajo; en tableta y computador (768 px o más) el menú pasa a una barra lateral verde con el logo, la barra superior muestra el título, la conexión, la cuenta y Salir, y el contenido se organiza en columnas de hasta 1.160 px. Estos ajustes están en src/tema.css, que se carga después de src/estilos.css y solo cambia la apariencia.</w:t>
      </w:r>
    </w:p>
    <w:p>
      <w:pPr>
        <w:pStyle w:val="Heading2"/>
        <w:keepNext/>
        <w:spacing w:line="480"/>
      </w:pPr>
      <w:r>
        <w:rPr>
          <w:rFonts w:ascii="Times New Roman" w:cs="Times New Roman" w:eastAsia="Times New Roman" w:hAnsi="Times New Roman"/>
          <w:b/>
          <w:bCs/>
          <w:sz w:val="24"/>
          <w:szCs w:val="24"/>
        </w:rPr>
        <w:t xml:space="preserve">Texto legal</w:t>
      </w:r>
    </w:p>
    <w:p>
      <w:pPr>
        <w:pStyle w:val="Heading3"/>
        <w:keepNext/>
        <w:spacing w:line="480"/>
      </w:pPr>
      <w:r>
        <w:rPr>
          <w:rFonts w:ascii="Times New Roman" w:cs="Times New Roman" w:eastAsia="Times New Roman" w:hAnsi="Times New Roman"/>
          <w:b/>
          <w:bCs/>
          <w:i/>
          <w:iCs/>
          <w:sz w:val="24"/>
          <w:szCs w:val="24"/>
        </w:rPr>
        <w:t xml:space="preserve">Autorización que se muestra junto a la casilla del registro</w:t>
      </w:r>
    </w:p>
    <w:p>
      <w:pPr>
        <w:spacing w:after="0" w:line="480"/>
      </w:pPr>
      <w:r>
        <w:rPr>
          <w:rFonts w:ascii="Times New Roman" w:cs="Times New Roman" w:eastAsia="Times New Roman" w:hAnsi="Times New Roman"/>
          <w:sz w:val="24"/>
          <w:szCs w:val="24"/>
        </w:rPr>
        <w:t xml:space="preserve">«Autorizo a los responsables de Sembrando Futuro para recolectar, almacenar y usar mis datos personales (nombre, correo, ubicación y datos de mis cultivos) con el fin de prestarme el servicio de la aplicación, según la Política de Tratamiento de Datos Personales. Sé que puedo conocer, corregir o pedir la eliminación de mis datos cuando quiera.»</w:t>
      </w:r>
    </w:p>
    <w:p>
      <w:pPr>
        <w:spacing w:after="0" w:line="480"/>
        <w:ind w:firstLine="720"/>
      </w:pPr>
      <w:r>
        <w:rPr>
          <w:rFonts w:ascii="Times New Roman" w:cs="Times New Roman" w:eastAsia="Times New Roman" w:hAnsi="Times New Roman"/>
          <w:sz w:val="24"/>
          <w:szCs w:val="24"/>
        </w:rPr>
        <w:t xml:space="preserve">La casilla comienza sin marcar. Sin marcarla no se puede crear la cuenta (V-08). Al registrarse, el sistema guarda que el usuario aceptó y la fecha y hora de la aceptación.</w:t>
      </w:r>
    </w:p>
    <w:p>
      <w:pPr>
        <w:pStyle w:val="Heading3"/>
        <w:keepNext/>
        <w:spacing w:line="480"/>
      </w:pPr>
      <w:r>
        <w:rPr>
          <w:rFonts w:ascii="Times New Roman" w:cs="Times New Roman" w:eastAsia="Times New Roman" w:hAnsi="Times New Roman"/>
          <w:b/>
          <w:bCs/>
          <w:i/>
          <w:iCs/>
          <w:sz w:val="24"/>
          <w:szCs w:val="24"/>
        </w:rPr>
        <w:t xml:space="preserve">Política de tratamiento de datos personales</w:t>
      </w:r>
    </w:p>
    <w:p>
      <w:pPr>
        <w:keepNext/>
        <w:spacing w:after="0" w:line="240"/>
      </w:pPr>
      <w:r>
        <w:rPr>
          <w:rFonts w:ascii="Times New Roman" w:cs="Times New Roman" w:eastAsia="Times New Roman" w:hAnsi="Times New Roman"/>
          <w:b/>
          <w:bCs/>
          <w:sz w:val="24"/>
          <w:szCs w:val="24"/>
        </w:rPr>
        <w:t xml:space="preserve">Tabla 7</w:t>
      </w:r>
    </w:p>
    <w:p>
      <w:pPr>
        <w:keepNext/>
        <w:spacing w:after="120" w:line="240"/>
      </w:pPr>
      <w:r>
        <w:rPr>
          <w:rFonts w:ascii="Times New Roman" w:cs="Times New Roman" w:eastAsia="Times New Roman" w:hAnsi="Times New Roman"/>
          <w:i/>
          <w:iCs/>
          <w:sz w:val="24"/>
          <w:szCs w:val="24"/>
        </w:rPr>
        <w:t xml:space="preserve">Política de tratamiento de datos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Aspecto</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Texto de la política</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Responsables</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Mikael Steven Ramos Musse y Kevin Zambrano, estudiantes de Ingeniería de Sistemas de la Corporación Universitaria Comfacauca (Unicomfacauca), en el proyecto académico Sembrando Futuro.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Datos que se recolectan</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Nombre, correo electrónico, ubicación (municipio o vereda), clave (guardada solo como hash con sal) y los datos que el usuario registra: fincas, ciclos, gastos, jornales (días de trabajo de una persona en el campo) e ingresos. No se piden datos sensibles ni de menores.</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Para qué se usan</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Crear y proteger la cuenta, enviar el código de verificación, calcular matas por hectárea y utilidad, y sincronizar los datos entre el dispositivo y el servidor. No se usan para publicidad.</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Con quién se comparten</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Con nadie. No se venden ni se ceden a terceros. El correo del código lo transporta el proveedor de correo del proyecto, que solo ve la dirección y el mensaje.</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Derechos del titular</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Conocer, actualizar y rectificar sus datos; pedir prueba de la autorización; saber cómo se usan; presentar quejas ante la Superintendencia de Industria y Comercio; revocar la autorización y pedir la eliminación de sus datos; acceder gratis a ellos (Congreso de la República de Colombia, 2012).</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Cómo ejercerlos</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Escribiendo al correo mikaelramos@unicomfacauca.edu.co. Las consultas se responden en máximo 10 días hábiles y los reclamos en máximo 15 días hábiles. La eliminación de la cuenta la ejecuta el administrador con el servicio AD-03 de la API y borra todos los datos del usuario.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Cuánto tiempo se guardan</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Mientras la cuenta esté activa. Una cuenta que no se activa en 24 horas se elimina sola con su código.</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Seguridad</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Conexión HTTPS, claves con Argon2 (algoritmo moderno para cifrar contraseñas) y sal, códigos y tokens guardados como hash (huella cifrada de la clave que no se puede revertir), acceso a cada registro solo por su dueño y una copia de la base de datos con mysqldump antes de cada sustentación.</w:t>
            </w:r>
          </w:p>
        </w:tc>
      </w:tr>
      <w:tr>
        <w:trPr>
          <w:cantSplit/>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Vigencia</w:t>
            </w:r>
          </w:p>
        </w:tc>
        <w:tc>
          <w:tcPr>
            <w:tcW w:type="dxa" w:w="7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La política rige desde el primer registro de usuarios y se publica en la vista «Política de datos y ayuda» (se abre con un enlace desde P-01, P-02 y P-26).</w:t>
            </w:r>
          </w:p>
        </w:tc>
      </w:tr>
    </w:tbl>
    <w:p>
      <w:pPr>
        <w:pStyle w:val="Heading2"/>
        <w:keepNext/>
        <w:spacing w:line="480"/>
      </w:pPr>
      <w:r>
        <w:rPr>
          <w:rFonts w:ascii="Times New Roman" w:cs="Times New Roman" w:eastAsia="Times New Roman" w:hAnsi="Times New Roman"/>
          <w:b/>
          <w:bCs/>
          <w:sz w:val="24"/>
          <w:szCs w:val="24"/>
        </w:rPr>
        <w:t xml:space="preserve">Verificación de coherencia por requisito funcional</w:t>
      </w:r>
    </w:p>
    <w:p>
      <w:pPr>
        <w:spacing w:after="0" w:line="480"/>
        <w:ind w:firstLine="720"/>
      </w:pPr>
      <w:r>
        <w:rPr>
          <w:rFonts w:ascii="Times New Roman" w:cs="Times New Roman" w:eastAsia="Times New Roman" w:hAnsi="Times New Roman"/>
          <w:sz w:val="24"/>
          <w:szCs w:val="24"/>
        </w:rPr>
        <w:t xml:space="preserve">La tabla siguiente comprueba que cada requisito funcional recorre los documentos de punta a punta: tiene pantalla (documento 17), servicio o procesamiento local (documento 18), reglas de validación con su mensaje (Apéndice J), datos de prueba (documento 19) y casos de prueba (documento 14).</w:t>
      </w:r>
    </w:p>
    <w:p>
      <w:pPr>
        <w:keepNext/>
        <w:spacing w:after="0" w:line="240"/>
      </w:pPr>
      <w:r>
        <w:rPr>
          <w:rFonts w:ascii="Times New Roman" w:cs="Times New Roman" w:eastAsia="Times New Roman" w:hAnsi="Times New Roman"/>
          <w:b/>
          <w:bCs/>
          <w:sz w:val="24"/>
          <w:szCs w:val="24"/>
        </w:rPr>
        <w:t xml:space="preserve">Tabla 8</w:t>
      </w:r>
    </w:p>
    <w:p>
      <w:pPr>
        <w:keepNext/>
        <w:spacing w:after="120" w:line="240"/>
      </w:pPr>
      <w:r>
        <w:rPr>
          <w:rFonts w:ascii="Times New Roman" w:cs="Times New Roman" w:eastAsia="Times New Roman" w:hAnsi="Times New Roman"/>
          <w:i/>
          <w:iCs/>
          <w:sz w:val="24"/>
          <w:szCs w:val="24"/>
        </w:rPr>
        <w:t xml:space="preserve">Recorrido de cada requisito funcional por la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2060"/>
        <w:gridCol w:w="1200"/>
        <w:gridCol w:w="1100"/>
      </w:tblGrid>
      <w:tr>
        <w:trPr>
          <w:tblHeader/>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RF</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Pantallas</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Servicio</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Reglas V-xx</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Casos funcionales</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Casos de validación</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RF-01</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pantalla (servicios AD)</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crear_admin y AD-01 a AD-03 y AD-05</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V-21 (1)</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13</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P-01, P-02, P-03, P-04, P-05, P-06</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A-01 a A-04</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V-01 a V-15 (15)</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21</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30</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P-01, P-07, P-08</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A-05</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V-16 a V-19 (4)</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RF-04</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P-26</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A-06</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V-20 (1)</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RF-07</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P-09, P-10</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regla de usuario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RF-12</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P-11, P-12</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V-22 a V-25 (4)</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RF-13</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P-13</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V-26 (1)</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RF-14</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P-14</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V-27 a V-48 (3)</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RF-15</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P-15</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V-29 a V-31 (3)</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RF-17</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P-16, P-17</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C-01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regla de usuario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P-18, P-19</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V-32 a V-34 (3)</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RF-23</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P-20, P-21</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V-35 a V-47 (5)</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5</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10</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RF-24</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P-20, P-22</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V-39 a V-40 (2)</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RF-25</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P-20, P-23</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V-41 a V-42 (2)</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5</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RF-27</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P-20, P-24</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 y S-01</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V-43 (1)</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RF-28</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P-10, P-20</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regla de usuario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RF-35</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P-10, P-25</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Local</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regla de usuario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RF-36</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P-25</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S-01, S-02</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V-44 a V-46 (3)</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5</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w:t>
            </w:r>
          </w:p>
        </w:tc>
      </w:tr>
      <w:tr>
        <w:trPr>
          <w:cantSplit/>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RF-37</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P-16, P-17</w:t>
            </w:r>
          </w:p>
        </w:tc>
        <w:tc>
          <w:tcPr>
            <w:tcW w:type="dxa" w:w="1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cargar_semilla y AD-04</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Sin regla de usuario</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5</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Total: 121 casos funcionales y 98 casos de validación (dos por regla: uno válido y uno inválido). Los 12 casos de requisitos no funcionales y los 4 generales completan los 235 casos del plan.</w:t>
      </w:r>
    </w:p>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Aiven. (s. f.). </w:t>
      </w:r>
      <w:r>
        <w:rPr>
          <w:rFonts w:ascii="Times New Roman" w:cs="Times New Roman" w:eastAsia="Times New Roman" w:hAnsi="Times New Roman"/>
          <w:i/>
          <w:iCs/>
          <w:sz w:val="24"/>
          <w:szCs w:val="24"/>
        </w:rPr>
        <w:t xml:space="preserve">MySQL free tier</w:t>
      </w:r>
      <w:r>
        <w:rPr>
          <w:rFonts w:ascii="Times New Roman" w:cs="Times New Roman" w:eastAsia="Times New Roman" w:hAnsi="Times New Roman"/>
          <w:sz w:val="24"/>
          <w:szCs w:val="24"/>
        </w:rPr>
        <w:t xml:space="preserve">. https://aiven.io/docs/products/mysql/concepts/mysql-free-tier</w:t>
      </w:r>
    </w:p>
    <w:p>
      <w:pPr>
        <w:spacing w:line="480"/>
        <w:ind w:left="720" w:hanging="720"/>
      </w:pPr>
      <w:r>
        <w:rPr>
          <w:rFonts w:ascii="Times New Roman" w:cs="Times New Roman" w:eastAsia="Times New Roman" w:hAnsi="Times New Roman"/>
          <w:sz w:val="24"/>
          <w:szCs w:val="24"/>
        </w:rPr>
        <w:t xml:space="preserve">Brevo. (s. f.). </w:t>
      </w:r>
      <w:r>
        <w:rPr>
          <w:rFonts w:ascii="Times New Roman" w:cs="Times New Roman" w:eastAsia="Times New Roman" w:hAnsi="Times New Roman"/>
          <w:i/>
          <w:iCs/>
          <w:sz w:val="24"/>
          <w:szCs w:val="24"/>
        </w:rPr>
        <w:t xml:space="preserve">Free email API for developers</w:t>
      </w:r>
      <w:r>
        <w:rPr>
          <w:rFonts w:ascii="Times New Roman" w:cs="Times New Roman" w:eastAsia="Times New Roman" w:hAnsi="Times New Roman"/>
          <w:sz w:val="24"/>
          <w:szCs w:val="24"/>
        </w:rPr>
        <w:t xml:space="preserve">. https://www.brevo.com/features/email-api/</w:t>
      </w:r>
    </w:p>
    <w:p>
      <w:pPr>
        <w:spacing w:line="480"/>
        <w:ind w:left="720" w:hanging="720"/>
      </w:pPr>
      <w:r>
        <w:rPr>
          <w:rFonts w:ascii="Times New Roman" w:cs="Times New Roman" w:eastAsia="Times New Roman" w:hAnsi="Times New Roman"/>
          <w:sz w:val="24"/>
          <w:szCs w:val="24"/>
        </w:rPr>
        <w:t xml:space="preserve">Congreso de la República de Colombia. (2012, 17 de octubre). </w:t>
      </w:r>
      <w:r>
        <w:rPr>
          <w:rFonts w:ascii="Times New Roman" w:cs="Times New Roman" w:eastAsia="Times New Roman" w:hAnsi="Times New Roman"/>
          <w:i/>
          <w:iCs/>
          <w:sz w:val="24"/>
          <w:szCs w:val="24"/>
        </w:rPr>
        <w:t xml:space="preserve">Ley Estatutaria 1581 de 2012: Por la cual se dictan disposiciones generales para la protección de datos personales</w:t>
      </w:r>
      <w:r>
        <w:rPr>
          <w:rFonts w:ascii="Times New Roman" w:cs="Times New Roman" w:eastAsia="Times New Roman" w:hAnsi="Times New Roman"/>
          <w:sz w:val="24"/>
          <w:szCs w:val="24"/>
        </w:rPr>
        <w:t xml:space="preserve">. Diario Oficial No. 48.587. http://www.secretariasenado.gov.co/senado/basedoc/ley_1581_2012.html</w:t>
      </w:r>
    </w:p>
    <w:p>
      <w:pPr>
        <w:spacing w:line="480"/>
        <w:ind w:left="720" w:hanging="720"/>
      </w:pPr>
      <w:r>
        <w:rPr>
          <w:rFonts w:ascii="Times New Roman" w:cs="Times New Roman" w:eastAsia="Times New Roman" w:hAnsi="Times New Roman"/>
          <w:sz w:val="24"/>
          <w:szCs w:val="24"/>
        </w:rPr>
        <w:t xml:space="preserve">Copes, F. (2026). </w:t>
      </w:r>
      <w:r>
        <w:rPr>
          <w:rFonts w:ascii="Times New Roman" w:cs="Times New Roman" w:eastAsia="Times New Roman" w:hAnsi="Times New Roman"/>
          <w:i/>
          <w:iCs/>
          <w:sz w:val="24"/>
          <w:szCs w:val="24"/>
        </w:rPr>
        <w:t xml:space="preserve">Every hosting provider's free tier, side by side (checked September 2026)</w:t>
      </w:r>
      <w:r>
        <w:rPr>
          <w:rFonts w:ascii="Times New Roman" w:cs="Times New Roman" w:eastAsia="Times New Roman" w:hAnsi="Times New Roman"/>
          <w:sz w:val="24"/>
          <w:szCs w:val="24"/>
        </w:rPr>
        <w:t xml:space="preserve">. https://flaviocopes.com/hosting-free-tiers/</w:t>
      </w:r>
    </w:p>
    <w:p>
      <w:pPr>
        <w:spacing w:line="480"/>
        <w:ind w:left="720" w:hanging="720"/>
      </w:pPr>
      <w:r>
        <w:rPr>
          <w:rFonts w:ascii="Times New Roman" w:cs="Times New Roman" w:eastAsia="Times New Roman" w:hAnsi="Times New Roman"/>
          <w:sz w:val="24"/>
          <w:szCs w:val="24"/>
        </w:rPr>
        <w:t>ISO/IEC. (2011). ISO/IEC 25010:2011 Systems and software engineering — Systems and software Quality Requirements and Evaluation (SQuaRE) — System and software quality models.</w:t>
      </w:r>
    </w:p>
    <w:p>
      <w:pPr>
        <w:spacing w:line="480"/>
        <w:ind w:left="720" w:hanging="720"/>
      </w:pPr>
      <w:r>
        <w:rPr>
          <w:rFonts w:ascii="Times New Roman" w:cs="Times New Roman" w:eastAsia="Times New Roman" w:hAnsi="Times New Roman"/>
          <w:sz w:val="24"/>
          <w:szCs w:val="24"/>
        </w:rPr>
        <w:t xml:space="preserve">OWASP Foundation. (2021). </w:t>
      </w:r>
      <w:r>
        <w:rPr>
          <w:rFonts w:ascii="Times New Roman" w:cs="Times New Roman" w:eastAsia="Times New Roman" w:hAnsi="Times New Roman"/>
          <w:i/>
          <w:iCs/>
          <w:sz w:val="24"/>
          <w:szCs w:val="24"/>
        </w:rPr>
        <w:t xml:space="preserve">Application Security Verification Standard (Versión 4.0.3)</w:t>
      </w:r>
      <w:r>
        <w:rPr>
          <w:rFonts w:ascii="Times New Roman" w:cs="Times New Roman" w:eastAsia="Times New Roman" w:hAnsi="Times New Roman"/>
          <w:sz w:val="24"/>
          <w:szCs w:val="24"/>
        </w:rPr>
        <w:t xml:space="preserve">. https://owasp.org/www-project-application-security-verification-standard/</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Especificación de requisitos de software (IEEE Std 830-1998) del sistema Sembrando Futuro: Aplicación web progresiva para la gestión agrícola</w:t>
      </w:r>
      <w:r>
        <w:rPr>
          <w:rFonts w:ascii="Times New Roman" w:cs="Times New Roman" w:eastAsia="Times New Roman" w:hAnsi="Times New Roman"/>
          <w:sz w:val="24"/>
          <w:szCs w:val="24"/>
        </w:rPr>
        <w:t xml:space="preserve"> [Documento no publicado]. Corporación Universitaria Comfacauca.</w:t>
      </w:r>
    </w:p>
    <w:p>
      <w:pPr>
        <w:spacing w:line="480"/>
        <w:ind w:left="720" w:hanging="720"/>
      </w:pPr>
      <w:r>
        <w:rPr>
          <w:rFonts w:ascii="Times New Roman" w:cs="Times New Roman" w:eastAsia="Times New Roman" w:hAnsi="Times New Roman"/>
          <w:sz w:val="24"/>
          <w:szCs w:val="24"/>
        </w:rPr>
        <w:t xml:space="preserve">Render. (2025, 16 de septiembre). </w:t>
      </w:r>
      <w:r>
        <w:rPr>
          <w:rFonts w:ascii="Times New Roman" w:cs="Times New Roman" w:eastAsia="Times New Roman" w:hAnsi="Times New Roman"/>
          <w:i/>
          <w:iCs/>
          <w:sz w:val="24"/>
          <w:szCs w:val="24"/>
        </w:rPr>
        <w:t xml:space="preserve">Free web services will no longer allow outbound traffic to SMTP ports</w:t>
      </w:r>
      <w:r>
        <w:rPr>
          <w:rFonts w:ascii="Times New Roman" w:cs="Times New Roman" w:eastAsia="Times New Roman" w:hAnsi="Times New Roman"/>
          <w:sz w:val="24"/>
          <w:szCs w:val="24"/>
        </w:rPr>
        <w:t xml:space="preserve"> [Registro de cambios]. https://render.com/changelog/free-web-services-will-no-longer-allow-outbound-traffic-to-smtp-ports</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2026-10-27T14:36:55.504Z</dcterms:created>
  <dcterms:modified xsi:type="dcterms:W3CDTF">2026-10-27T14:36:55.504Z</dcterms:modified>
</cp:coreProperties>
</file>

<file path=docProps/custom.xml><?xml version="1.0" encoding="utf-8"?>
<Properties xmlns="http://schemas.openxmlformats.org/officeDocument/2006/custom-properties" xmlns:vt="http://schemas.openxmlformats.org/officeDocument/2006/docPropsVTypes"/>
</file>