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Guía de Despliegue y Sustentación del Sistema Sembrando Futuro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Mikael Steven Ramos Musse y Kevin Zambrano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Sistemas, Corporación Universitaria Comfacauca (Unicomfacauca)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de Software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Carlos Zúñiga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Guía de Despliegue y Sustentación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>Esta guía explica cómo pasar el sistema del repositorio a internet con Render (aplicación), Aiven (base de datos MySQL 8) y Brevo (correo), cómo comprobar que quedó funcionando y cómo preparar la sustentación. Cada paso remite al requisito o al documento que lo respalda, para que lo que se muestre coincida con lo especificado en la ERS (Ramos Musse y Zambrano, 2026). El estado que aparece en las tablas es el del 29 de octubre de 2026.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Tecnologías del sistema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>El sistema usa una sola tecnología por cada necesidad; no hay alternativas en paralelo. La Tabla 1 resume qué se usa, para qué y dónde está documentado.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Tecnologías del sistema y su función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3060"/>
        <w:gridCol w:w="14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Capa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Tecnología y versión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Para qué se usa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Documento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Dispositivo (PWA)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HTML5 y JavaScript de módulos, sin paso de compilación; Bootstrap 5.3.3 (solo la hoja de estilos) y tipografía Inter incluidas en la aplicación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Pantallas que funcionan en el navegador del teléfono y se instalan como app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13, 17, 20, 21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Datos en el teléfono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IndexedDB (base del navegador) con un envoltorio propio (src/db/db.js) y Service Worker (versión sf-v9)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Guardar los registros y los archivos de la aplicación para usarla sin internet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09, 13, 20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Servidor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Python 3.14.7, FastAPI, Pydantic 2, SQLAlchemy 2, Alembic (migraciones 0001 y 0002), Uvicorn, PyMySQL, argon2-cffi y httpx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API REST /api/v1 con 16 servicios; también entrega la PWA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11, 13, 18, 20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Base de datos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MySQL 8: Aiven en el despliegue y MySQL 8 local en desarrollo. Las pruebas automáticas usan SQLite en memoria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12 tablas del modelo entidad-relación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12, 20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Correo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API HTTPS de Brevo (puerto 443)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Enviar el código de verificación de 6 dígitos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Alojamiento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Render, servicio web gratuito (render.yaml)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Publicar la aplicación con HTTPS automático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13, 20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Calidad</w:t>
            </w:r>
          </w:p>
        </w:tc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pytest (412 pruebas), node:test (47), Playwright con Chromium (pruebas de pantalla), flake8, ESLint, GitHub Actions y SonarCloud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Verificar requisitos, estilo, complejidad y cobertura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14, 22, 23</w:t>
            </w:r>
          </w:p>
        </w:tc>
      </w:tr>
    </w:tbl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Lista de verificación antes de desplegar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>La Tabla 2 separa lo que ya está comprobado en el entorno de desarrollo de lo que el equipo debe hacer antes o después de publicar. Nada de lo pendiente se puede dar por hecho en la sustentación.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Tabla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Estado de la verificación antes del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3460"/>
        <w:gridCol w:w="1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N.º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Verificación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Cómo se comprueba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Estado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Las 412 pruebas del servidor pasan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cd backend &amp;&amp; pytest -q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Hecho (local)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2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Las 47 pruebas del dispositivo pasan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cd frontend &amp;&amp; node --test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Hecho (local)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3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Pruebas de pantalla de punta a punta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node pruebas/e2e.cjs, e2e_plan.cjs y e2e_datos_prueba.cjs contra un servidor local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Hecho (local)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4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Estilo y complejidad: 0 errores; ninguna función con complejidad mayor que 10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flake8 app tests alembic; npm run lint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Hecho (local)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5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Plan de pruebas: 225 casos aprobados y 10 pendientes con motivo; caja blanca 28 de 28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python scripts/rellenar_plan.py (documentos 14 y 22)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Hecho (local)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6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Cobertura oficial con pytest-cov (80 % o más) y análisis de SonarCloud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Primera ejecución de GitHub Actions con el secreto SONAR_TOKEN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Pendiente (equipo)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7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Versiones exactas de las dependencias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Copiar el artefacto requirements.lock del CI en backend/requirements.txt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Pendiente (equipo)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8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Certificado de Aiven en el repositorio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Archivo backend/ca.pem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Pendiente (equipo)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9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Acta de revisión formal llena y firmada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Documento 16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Pendiente (equipo)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10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Datos de cosecha y precios validados con un técnico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Documento 19 (hoy están POR_VALIDAR)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Pendiente (equipo)</w:t>
            </w:r>
          </w:p>
        </w:tc>
      </w:tr>
    </w:tbl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Paso a paso del despliegue</w:t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>Paso 1. Subir el código a GitHub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Suba la carpeta del proyecto completa (backend, frontend, datos, docs, scripts, render.yaml, sonar-project.properties y .github). El archivo .env nunca se sube; .gitignore ya lo excluye.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Agregue backend/ca.pem (paso 2): es el certificado público de Aiven, no una clave.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Revise que la ejecución de GitHub Actions termine en verde y descargue el artefacto «versiones-backend» (requirements.lock).</w:t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>Paso 2. Crear la base de datos en Aiven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Cree un servicio MySQL con el plan gratuito (1 GB de disco, hasta 76 conexiones; Aiven, s. f.).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En la página del servicio copie Host, Port, Database name, User y Password, y descargue el CA certificate; guárdelo como backend/ca.pem.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Aiven puede apagar un servicio gratuito sin actividad; el monitor del paso 7 lo evita. Si se apaga, se enciende desde la consola de Aiven.</w:t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>Paso 3. Preparar el correo en Brevo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Cree la cuenta, verifique el remitente y genere la clave de la API (BREVO_API_KEY).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Si se compra un dominio propio, autentíquelo en Brevo (registros SPF, DKIM y DMARC) y use un remitente de ese dominio, por ejemplo no-responder@sudominio. Un remitente de un dominio sin autenticar puede llegar a la carpeta de spam o ser rechazado (Brevo, s. f.).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Antes de la sustentación, registre una cuenta de prueba con correos de Gmail, Outlook y el institucional, y confirme que el código llega en menos de un minuto.</w:t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>Paso 4. Crear el servicio en Render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En Render elija New → Blueprint y seleccione el repositorio: Render lee render.yaml y crea el servicio web gratuito.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Escriba en el panel las variables marcadas para completar (Tabla 3). Las demás ya vienen en render.yaml.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Tabla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Variables que se escriben en el panel de Render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60"/>
        <w:gridCol w:w="2600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Variable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Valor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De dónde sale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DB_HOST, DB_PORT, DB_NAME, DB_USER, DB_PASSWORD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Datos de conexión del servicio MySQL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Consola de Aiven (paso 2)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BREVO_API_KEY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Clave de la API de correo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Brevo (paso 3)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CORREO_REMITENTE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Remitente verificado en Brevo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Brevo (paso 3)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DOMINIO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sembrando-futuro.onrender.com y, si existe, el dominio propio, separados por coma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Dirección que asigna Render (y paso 6)</w:t>
            </w:r>
          </w:p>
        </w:tc>
      </w:tr>
    </w:tbl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Al construir, Render instala las dependencias, aplica las migraciones (alembic upgrade head) y carga el catálogo con cargar_semilla, que solo inserta cultivos nuevos y nunca sobrescribe los cambios del administrador. Luego arranca Uvicorn y revisa /api/v1/salud.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Si falta una variable importante o el certificado, el servicio no arranca y el registro de Render muestra la lista de lo que hay que corregir (validación al arrancar, documento 20).</w:t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>Paso 5. Crear el administrador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El plan gratuito de Render no ofrece consola. En su computador, cree backend/.env con las mismas variables DB_* y DB_SSL_CA=ca.pem, y ejecute python -m app.cli crear_admin. El administrador solo se crea por consola y solo puede existir uno (RF-01).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No cargue los datos de prueba en el sitio público: las claves de esas cuentas están escritas en el documento 19.</w:t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>Paso 6. Usar un dominio propio (opcional)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En Render abra el servicio, Settings → Custom Domains, y escriba el dominio. En el proveedor del dominio cree el registro que Render indique (CNAME para un subdominio). Render emite el certificado HTTPS solo.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Agregue el dominio a DOMINIO junto al de onrender.com. La aplicación envía la cabecera HSTS: una vez abierta por HTTPS, el navegador ya no acepta ese dominio sin HTTPS durante un año.</w:t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>Paso 7. Activar el monitor de disponibilidad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Cree un monitor externo gratuito (por ejemplo, UptimeRobot) que consulte https://su-dominio/api/v1/salud cada 5 minutos.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El monitor mide la disponibilidad mensual del RNF-10 (meta de 99,0 %), que se anota en el documento 23 (M-08), y evita que Render y Aiven se duerman. Un mes tiene 744 horas y el plan gratuito de Render da 750 horas al mes (Render, s. f.).</w:t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>Paso 8. Comprobar el sitio publicado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>La prueba de humo de la Tabla 4 se hace con un teléfono real. Si un paso falla, se registra como defecto en el documento 23 antes de corregirlo.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Tabla 4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Prueba de humo en el sitio publicado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Paso</w:t>
            </w:r>
          </w:p>
        </w:tc>
        <w:tc>
          <w:tcPr>
            <w:tcW w:type="dxa" w:w="4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Acción</w:t>
            </w:r>
          </w:p>
        </w:tc>
        <w:tc>
          <w:tcPr>
            <w:tcW w:type="dxa" w:w="4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1</w:t>
            </w:r>
          </w:p>
        </w:tc>
        <w:tc>
          <w:tcPr>
            <w:tcW w:type="dxa" w:w="4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Abrir https://su-dominio/api/v1/salud</w:t>
            </w:r>
          </w:p>
        </w:tc>
        <w:tc>
          <w:tcPr>
            <w:tcW w:type="dxa" w:w="4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{"estado": "ok"} con la hora del servidor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2</w:t>
            </w:r>
          </w:p>
        </w:tc>
        <w:tc>
          <w:tcPr>
            <w:tcW w:type="dxa" w:w="4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Abrir el sitio en el teléfono y crear una cuenta</w:t>
            </w:r>
          </w:p>
        </w:tc>
        <w:tc>
          <w:tcPr>
            <w:tcW w:type="dxa" w:w="4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El código llega al correo y la cuenta queda activa al escribirlo (RF-02)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3</w:t>
            </w:r>
          </w:p>
        </w:tc>
        <w:tc>
          <w:tcPr>
            <w:tcW w:type="dxa" w:w="4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Ingresar, crear una finca y un ciclo con café</w:t>
            </w:r>
          </w:p>
        </w:tc>
        <w:tc>
          <w:tcPr>
            <w:tcW w:type="dxa" w:w="4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El panel muestra las matas del ciclo redondeadas hacia arriba (RF-12, RF-14, RF-18)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4</w:t>
            </w:r>
          </w:p>
        </w:tc>
        <w:tc>
          <w:tcPr>
            <w:tcW w:type="dxa" w:w="4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Activar el modo avión y registrar un gasto</w:t>
            </w:r>
          </w:p>
        </w:tc>
        <w:tc>
          <w:tcPr>
            <w:tcW w:type="dxa" w:w="4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El gasto se guarda y queda pendiente; la utilidad cambia al momento (RF-23, RF-35)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5</w:t>
            </w:r>
          </w:p>
        </w:tc>
        <w:tc>
          <w:tcPr>
            <w:tcW w:type="dxa" w:w="4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Quitar el modo avión</w:t>
            </w:r>
          </w:p>
        </w:tc>
        <w:tc>
          <w:tcPr>
            <w:tcW w:type="dxa" w:w="4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El gasto se sincroniza solo y la pastilla deja de mostrar pendientes (RF-36)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6</w:t>
            </w:r>
          </w:p>
        </w:tc>
        <w:tc>
          <w:tcPr>
            <w:tcW w:type="dxa" w:w="4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Instalar la aplicación desde el menú del navegador y abrirla sin internet</w:t>
            </w:r>
          </w:p>
        </w:tc>
        <w:tc>
          <w:tcPr>
            <w:tcW w:type="dxa" w:w="4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Abre y muestra los datos guardados (RNF-10, parte del dispositivo)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7</w:t>
            </w:r>
          </w:p>
        </w:tc>
        <w:tc>
          <w:tcPr>
            <w:tcW w:type="dxa" w:w="4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Ejecutar python scripts/verificar_limite_ip.py https://su-dominio</w:t>
            </w:r>
          </w:p>
        </w:tc>
        <w:tc>
          <w:tcPr>
            <w:tcW w:type="dxa" w:w="4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El intento 11 responde 429: inventar la IP no sirve (si no, ajustar PROXY_SALTOS)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8</w:t>
            </w:r>
          </w:p>
        </w:tc>
        <w:tc>
          <w:tcPr>
            <w:tcW w:type="dxa" w:w="4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Cerrar sesión</w:t>
            </w:r>
          </w:p>
        </w:tc>
        <w:tc>
          <w:tcPr>
            <w:tcW w:type="dxa" w:w="4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Vuelve a la bienvenida y el token queda revocado (RF-04)</w:t>
            </w:r>
          </w:p>
        </w:tc>
      </w:tr>
    </w:tbl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>Después de la prueba de humo se ejecutan, contra el sitio publicado, Lighthouse (accesibilidad de 90 o más, RNF-07), OWASP ZAP en modo básico (RNF-09 y RNF-14) y SSL Labs (calificación A, RNF-14). Sus resultados se anotan en los documentos 14 y 23; hasta entonces esos casos siguen «Pendiente».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Cambios hechos en la revisión previa al despliegue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>El 29 de octubre de 2026 se revisó el proyecto como lo haría un auditor de calidad antes de publicarlo. Se hallaron siete defectos; todos se corrigieron, se probaron y quedaron en la hoja Registro_Defectos del documento 23 (Tabla 5).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Tabla 5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Defectos hallados en la revisión previa al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7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Defecto</w:t>
            </w:r>
          </w:p>
        </w:tc>
        <w:tc>
          <w:tcPr>
            <w:tcW w:type="dxa" w:w="2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Qué pasaba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Qué se cambió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DEF-06 (RF-37)</w:t>
            </w:r>
          </w:p>
        </w:tc>
        <w:tc>
          <w:tcPr>
            <w:tcW w:type="dxa" w:w="2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Cada despliegue volvía a cargar la semilla y borraba los cambios del administrador al catálogo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cargar_semilla solo inserta y completa; reemplazar exige --forzar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4 pruebas nuevas en test_datos_de_prueba.py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DEF-07 (RNF-15)</w:t>
            </w:r>
          </w:p>
        </w:tc>
        <w:tc>
          <w:tcPr>
            <w:tcW w:type="dxa" w:w="2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El límite por IP creía la primera dirección de X-Forwarded-For, que el cliente puede inventar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Se cuenta desde la derecha (PROXY_SALTOS) y Uvicorn no reescribe la IP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test_detras_del_proxy_no_sirve_inventar_la_ip y scripts/verificar_limite_ip.py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DEF-08 (RNF-10)</w:t>
            </w:r>
          </w:p>
        </w:tc>
        <w:tc>
          <w:tcPr>
            <w:tcW w:type="dxa" w:w="2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Con configuración incompleta el servicio arrancaba y fallaba después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validar_produccion() detiene el arranque y dice qué falta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test_configuracion_produccion.py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DEF-09 (M-17, M-19)</w:t>
            </w:r>
          </w:p>
        </w:tc>
        <w:tc>
          <w:tcPr>
            <w:tcW w:type="dxa" w:w="2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11 hallazgos de flake8 y 20 de ESLint habrían dejado el CI en rojo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Funciones divididas y código sin usar eliminado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flake8 y ESLint con 0 errores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DEF-10 (RNF-10)</w:t>
            </w:r>
          </w:p>
        </w:tc>
        <w:tc>
          <w:tcPr>
            <w:tcW w:type="dxa" w:w="2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DOMINIO admitía un solo host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Admite varios separados por coma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test_varios_dominios_de_confianza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DEF-11 (RNF-07)</w:t>
            </w:r>
          </w:p>
        </w:tc>
        <w:tc>
          <w:tcPr>
            <w:tcW w:type="dxa" w:w="2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El requisito no decía qué tamaño llevan las etiquetas cortas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Contenido de 18 px o más y etiquetas secundarias de 16 px o más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CP-RNF-07 mide los dos grupos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DEF-12 (RNF-10)</w:t>
            </w:r>
          </w:p>
        </w:tc>
        <w:tc>
          <w:tcPr>
            <w:tcW w:type="dxa" w:w="2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La meta de 99,0 % no tenía un método de medición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Monitor externo cada 5 minutos sobre /api/v1/salud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Documentos 02, 20 y 23</w:t>
            </w:r>
          </w:p>
        </w:tc>
      </w:tr>
    </w:tbl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>Además, el código quedó documentado en lenguaje natural: cada módulo, clase y función del servidor tiene su explicación (docstring) y cada función del dispositivo un comentario que dice qué hace y qué regla cumple.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Guion de la sustentación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>Orden sugerido para unos 15 minutos. La demostración sigue la prueba de humo, así lo que se muestra ya fue comprobado.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Problema y encuesta (documento 01), 1 minuto: quiénes son los agricultores, qué les falta y por qué sin internet.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Requisitos (documentos 02, 04 y 14), 2 minutos: 19 requisitos funcionales, 12 no funcionales con su característica ISO/IEC 25010 y la matriz de trazabilidad.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Modelado (documentos 05 a 12), 2 minutos: casos de uso, DFD, dominio, actividades, secuencia, estados, clases y modelo entidad-relación, todos con los mismos nombres del código.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Arquitectura y tecnologías (documentos 13 y 20), 1 minuto: Tabla 1 de esta guía.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Demostración en vivo, 4 minutos: registro, ciclo, cálculo de matas, gasto sin conexión y sincronización.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Calidad (documentos 14, 22 y 23), 3 minutos: plan de pruebas, caja blanca, métricas y defectos registrados.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Gestión (documentos 03, 15 y 16), 1 minuto: riesgos, cronograma, definición de hecho y acta de revisión.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Limitaciones y siguientes pasos, 1 minuto: lo que sigue «Pendiente» y por qué.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Preguntas probables y respuestas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Tabla 6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Preguntas probables del jurado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Pregunta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Respuesta corta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>Dónde está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¿Por qué una PWA y no una app nativa?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Un solo código que se instala desde el navegador y funciona sin internet con el Service Worker y IndexedDB; en la encuesta 9 de 10 usan Android y 4 de 10 solo tienen internet algunas veces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Documentos 01, 02 y 20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¿Cómo funciona sin internet?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Los archivos quedan guardados por el Service Worker y cada registro se guarda en IndexedDB marcado PENDIENTE; al volver la conexión se envía (S-01) y se reciben los cambios (S-02)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Documentos 09, 13 y 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¿Qué pasa si dos teléfonos cambian el mismo registro?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Gana la versión con la fecha de modificación más reciente; el servidor devuelve ACTUALIZADO_POR_SERVIDOR con su copia y el teléfono la adopta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Documento 18; sync_service.py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¿Cómo protegen las claves y las sesiones?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Claves con Argon2; tokens aleatorios de los que solo se guarda la huella HMAC-SHA256; bloqueo de 15 minutos tras 5 fallos; límites de peticiones por IP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Documento 20; RNF-15 y RNF-16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¿Por qué las matas se redondean hacia arriba?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No existe media mata; el cálculo es exacto (enteros grandes y fracciones). Hectáreas y cantidades van con 2 decimales hacia arriba y el dinero en pesos enteros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Documento 19; RNF-22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¿Cómo saben que el teléfono y el servidor calculan igual?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Las mismas fórmulas están en formulas.js y formulas.py y se prueban con los mismos valores oráculo (por ejemplo, 4.444,45 matas por hectárea)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Documentos 14 y 22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¿Cuál es la complejidad y la cobertura?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Ninguna función pasa de 10 caminos (flake8 y ESLint). Cobertura aproximada del servidor: 96,8 % de líneas y 83,9 % de ramas; la oficial sale del CI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Documentos 22 y 23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¿Qué defectos encontraron?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12 registrados y verificados: 5 al ejecutar el plan y 7 en la revisión previa al despliegue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Documento 23, Registro_Defectos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¿Cumplen la Ley 1581 de 2012?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La autorización es obligatoria al registrarse y queda guardada; la política está en P-27; la supresión se hace con AD-03 o eliminar_cuenta; solo se piden los datos necesarios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Documento 20 (texto legal)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¿Por qué Render, Aiven y Brevo?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Planes gratuitos sin tarjeta, HTTPS automático, MySQL 8 gestionado con conexión cifrada y correo por HTTPS (Render gratuito bloquea los puertos de SMTP)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Documento 20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¿Cómo se crea el administrador?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Solo por consola con crear_admin; existe uno solo y la aplicación no tiene pantalla para crearlo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RF-01; documento 05 (CU-05)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¿Qué no está terminado?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Lighthouse, OWASP ZAP, SSL Labs, la prueba con 5 agricultores, la disponibilidad de un mes, las bitácoras PSP, el acta firmada y la validación de los datos de cosecha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Documentos 14 y 23</w:t>
            </w:r>
          </w:p>
        </w:tc>
      </w:tr>
    </w:tbl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El día de la sustentación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Treinta minutos antes, abra el sitio y /api/v1/salud; revise en Aiven que la base esté encendida.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Lleve un teléfono con la aplicación instalada y una cuenta de demostración propia (no las de los datos de prueba).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Tenga a mano la carpeta de capturas de la entrega y un servidor local listo (uvicorn con ENTORNO=pruebas) por si falla la red del salón.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Si aparece un error durante la demostración, explíquelo y regístrelo como defecto: mostrar el proceso de calidad también es parte de la evaluación.</w:t>
      </w:r>
    </w:p>
    <w:p>
      <w:pPr>
        <w:sectPr>
          <w:head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Referencias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>Aiven. (s. f.). MySQL free tier. https://aiven.io/docs/products/mysql/concepts/mysql-free-tier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>Brevo. (s. f.). Troubleshooting issues with domain authentication (Brevo code, DKIM, DMARC). https://help.brevo.com/hc/en-us/articles/16045394674066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>Ramos Musse, M. S. y Zambrano, K. (2026). Especificación de requisitos de software (IEEE Std 830-1998) del sistema Sembrando Futuro: Aplicación web progresiva para la gestión agrícola [Documento no publicado]. Corporación Universitaria Comfacauca.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>Render. (s. f.). Deploy for free. https://render.com/docs/free</w:t>
      </w:r>
    </w:p>
    <w:sectPr>
      <w:headerReference w:type="default" r:id="rId7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2026-10-27T17:08:34.062Z</dcterms:created>
  <dcterms:modified xsi:type="dcterms:W3CDTF">2026-10-27T17:08:34.062Z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