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480" w:line="24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 del Sistema Sembrando Futuro: Paquetes, Componentes y Despliegue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Mikael Steven Ramos Musse y Kevin Zambrano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Ingeniería de Sistemas, Corporación Universitaria Comfacauca (Unicomfacauca)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Calidad de Software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Juan Carlos Zúñiga</w:t>
      </w:r>
    </w:p>
    <w:p>
      <w:pPr>
        <w:spacing w:after="240" w:line="24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Octubre de 2026</w:t>
      </w:r>
    </w:p>
    <w:p>
      <w:r>
        <w:br w:type="page"/>
      </w: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Arquitectura: Paquetes, Componentes y Despliegue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arquitectura se presenta de lo lógico a lo físico: primero los paquetes (organización del código), luego los componentes (módulos y sus interfaces) y por último el despliegue (nodos y comunicaciones).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Paquetes</w:t>
      </w:r>
    </w:p>
    <w:p>
      <w:pPr>
        <w:spacing w:after="0" w:line="480"/>
        <w:ind w:firstLine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código se organiza en capas con dependencias en un solo sentido: presentación, lógica de negocio del cliente, persistencia local y sincronización en el navegador; rutas y esquemas de la API (carpetas routers y schemas), servicios de aplicación (services), reglas del dominio (domain), modelos ORM (herramienta que traduce los objetos del programa a tablas de la base de datos) y conexión (models y database) y seguridad en el servidor, más los servicios de administración AD-01 a AD-05. Cada capa solo depende de la inferior y las reglas del dominio no conocen ni la API ni la base de datos.</w:t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Componentes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Componentes y requisitos que atienden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400"/>
        <w:gridCol w:w="29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Componente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Tecnología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Requisitos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Interfaz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HTML5 y Bootstrap 5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RF-07; RNF-05, RNF-07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Módulos de negocio JS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JavaScript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RF-12 a RF-15, RF-18, RF-23 a RF-28; RNF-01, RNF-22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IndexedDB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>IndexedDB (envoltorio propio)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RF-35;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 (programa del navegador que guarda la aplicación para usarla sin internet) y Cache API (memoria del navegador donde se guardan los archivos de la aplicación)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Service Worker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RF-17, RF-35; RNF-10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Eventos online y visibilitychange (cuando la pestaña vuelve a verse)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REST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(framework —conjunto de herramientas— en Python para construir APIs) y Pydantic (biblioteca que valida tipos y rangos de los datos)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RF-02, RF-03; RNF-14, RNF-15, RNF-16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OTP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API HTTPS (conexión web cifrada) del proveedor de correo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de sincronización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RF-36; RNF-11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Servicios de administración AD-01 a AD-05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FastAPI y comando crear_admin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Administración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Comandos de administración del servidor (python -m app.cli), que usan las mismas reglas y la misma base de datos que la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RF-01, RF-37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Manejador global de errores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Cliente y API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RNF-25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Base de datos</w:t>
            </w:r>
          </w:p>
        </w:tc>
        <w:tc>
          <w:tcPr>
            <w:tcW w:type="dxa" w:w="3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MariaDB (base de datos relacional compatible con MySQL) 10.11 o superior con SQLAlchemy (ORM de Python que conecta el código con la base de datos) y PyMySQL</w:t>
            </w:r>
          </w:p>
        </w:tc>
        <w:tc>
          <w:tcPr>
            <w:tcW w:type="dxa" w:w="29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RF-37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Despliegue</w:t>
      </w: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Nodos de despliegue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00"/>
        <w:gridCol w:w="25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Nodo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Contenido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/>
                <w:bCs/>
                <w:sz w:val="18"/>
                <w:szCs w:val="18"/>
              </w:rPr>
              <w:t xml:space="preserve">Comunicación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Dispositivo del usuario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Navegador moderno con la PWA (aplicación web progresiva: un sitio web que se instala como app y funciona sin internet), IndexedDB (base de datos que vive dentro del navegador) y Service Worker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(TLS 1.2 o superior)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Servidor Linux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Nginx (servidor web que recibe las conexiones y las protege) (puertos 80 y 443), Uvicorn (programa que ejecuta la aplicación FastAPI en el servidor) con FastAPI y MariaDB (solo acceso local)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 local (ASGI) y TCP local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Proveedor de correo (Brevo)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Envío de OTP (código de un solo uso de 6 dígitos que llega al correo) en la demostración y en producción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API HTTPS (puerto 443)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Copia de seguridad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Copia diaria de la base de datos a las 02:00 con mysqldump y retención de 7 días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Tarea programada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Alojamiento gratuito (demostración)</w:t>
            </w:r>
          </w:p>
        </w:tc>
        <w:tc>
          <w:tcPr>
            <w:tcW w:type="dxa" w:w="440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Servicio web con Uvicorn y FastAPI, y base de datos MySQL (base de datos relacional compatible con MariaDB) 8 gestionada, para la sustentación</w:t>
            </w:r>
          </w:p>
        </w:tc>
        <w:tc>
          <w:tcPr>
            <w:tcW w:type="dxa" w:w="2560"/>
            <w:tcBorders>
              <w:top w:val="single" w:color="000000" w:sz="4"/>
              <w:left w:val="none" w:color="FFFFFF" w:sz="0"/>
              <w:bottom w:val="single" w:color="000000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4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8"/>
                <w:szCs w:val="18"/>
              </w:rPr>
              <w:t xml:space="preserve">HTTPS del proveedor y TCP con TLS (tecnología que cifra la conexión)</w:t>
            </w:r>
          </w:p>
        </w:tc>
      </w:tr>
    </w:tbl>
    <w:p>
      <w:pPr>
        <w:spacing w:after="120" w:line="24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pStyle w:val="Heading2"/>
        <w:keepNext/>
        <w:spacing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Limitaciones del navegador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Safari y Firefox no ofrecen Background Sync (sincronización en segundo plano): la sincronización se dispara al detectar conexión y al abrir la aplicación.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iOS puede borrar el almacenamiento local de sitios poco usados: se solicita almacenamiento persistente y se recomienda instalar la PWA.</w:t>
      </w:r>
    </w:p>
    <w:p>
      <w:pPr>
        <w:pStyle w:val="ListParagraph"/>
        <w:numPr>
          <w:ilvl w:val="0"/>
          <w:numId w:val="2"/>
        </w:numPr>
        <w:spacing w:line="48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Service Worker no ejecuta lógica de interfaz ni de negocio con DOM (la estructura de la página): solo gestiona caché (copia guardada en el dispositivo para no volver a descargarla) y red.</w:t>
      </w:r>
    </w:p>
    <w:p>
      <w:pPr>
        <w:sectPr>
          <w:headerReference w:type="default" r:id="rId6"/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paquetes</w:t>
      </w:r>
    </w:p>
    <w:p>
      <w:pPr>
        <w:jc w:val="center"/>
      </w:pPr>
      <w:r>
        <w:drawing>
          <wp:inline distT="0" distB="0" distL="0" distR="0">
            <wp:extent cx="8162925" cy="4933950"/>
            <wp:effectExtent t="0" r="0" b="0" l="0"/>
            <wp:docPr id="20" name="Diagrama de paquetes" descr="Diagrama de paquetes" title="Diagrama de paque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62925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7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componentes</w:t>
      </w:r>
    </w:p>
    <w:p>
      <w:pPr>
        <w:jc w:val="center"/>
      </w:pPr>
      <w:r>
        <w:drawing>
          <wp:inline distT="0" distB="0" distL="0" distR="0">
            <wp:extent cx="7372350" cy="4825979"/>
            <wp:effectExtent t="0" r="0" b="0" l="0"/>
            <wp:docPr id="21" name="Diagrama de componentes" descr="Diagrama de componentes" title="Diagrama de compon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0" cy="4825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8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keepNext/>
        <w:spacing w:after="0" w:lin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despliegue</w:t>
      </w:r>
    </w:p>
    <w:p>
      <w:pPr>
        <w:jc w:val="center"/>
      </w:pPr>
      <w:r>
        <w:drawing>
          <wp:inline distT="0" distB="0" distL="0" distR="0">
            <wp:extent cx="6496050" cy="4933950"/>
            <wp:effectExtent t="0" r="0" b="0" l="0"/>
            <wp:docPr id="22" name="Diagrama de despliegue" descr="Diagrama de despliegue" title="Diagrama de despliegu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Nota.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Elaboración propia.</w:t>
      </w:r>
    </w:p>
    <w:p>
      <w:pPr>
        <w:sectPr>
          <w:headerReference w:type="default" r:id="rId9"/>
          <w:type w:val="nextPage"/>
          <w:pgSz w:w="15840" w:h="12240" w:orient="landscape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Object Management Group.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OMG Unified Modeling Language (OMG UML) (Versión 2.5.1)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https://www.omg.org/spec/UML/2.5.1/</w:t>
      </w:r>
    </w:p>
    <w:p>
      <w:pPr>
        <w:spacing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Ramos Musse, M. S. y Zambrano, K. (2026).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Especificación de requisitos de software (IEEE Std 830-1998) del sistema Sembrando Futuro: Aplicación web progresiva para la gestión agrícola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[Documento no publicado]. Corporación Universitaria Comfacauca.</w:t>
      </w:r>
    </w:p>
    <w:sectPr>
      <w:head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header" Target="header4.xml"/><Relationship Id="rId10" Type="http://schemas.openxmlformats.org/officeDocument/2006/relationships/header" Target="header5.xml"/><Relationship Id="rId11" Type="http://schemas.openxmlformats.org/officeDocument/2006/relationships/theme" Target="theme/theme1.xml"/><Relationship Id="rId12" Type="http://schemas.openxmlformats.org/officeDocument/2006/relationships/image" Target="media/75720649c6dafaadd0031173f91cf18eb5ba1039.png"/><Relationship Id="rId13" Type="http://schemas.openxmlformats.org/officeDocument/2006/relationships/image" Target="media/9a83685119b084ec080966045ac50bf139a7dac7.png"/><Relationship Id="rId14" Type="http://schemas.openxmlformats.org/officeDocument/2006/relationships/image" Target="media/333e548711a4869c322641c567369ea61eccd1f7.png"/><Relationship Id="rId1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2026-10-27T14:36:52.013Z</dcterms:created>
  <dcterms:modified xsi:type="dcterms:W3CDTF">2026-10-27T14:36:52.013Z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