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Decisiones Técnicas, Entorno y Texto Legal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Decisiones Técnicas, Entorno y Texto Legal</w:t>
      </w:r>
    </w:p>
    <w:p>
      <w:pPr>
        <w:spacing w:after="0" w:line="480"/>
        <w:ind w:firstLine="720"/>
      </w:pPr>
      <w:r>
        <w:rPr>
          <w:rFonts w:ascii="Times New Roman" w:cs="Times New Roman" w:eastAsia="Times New Roman" w:hAnsi="Times New Roman"/>
          <w:sz w:val="24"/>
          <w:szCs w:val="24"/>
        </w:rPr>
        <w:t xml:space="preserve">Este documento cierra las decisiones que faltaban antes de programar: las versiones de las tecnologías, los entornos, el envío de correos, las tareas automáticas, el flujo de trabajo del equipo y el texto legal de la autorización de datos personales. Al final verifica que cada requisito funcional recorre toda la documentación, de la pantalla a la prueba.</w:t>
      </w:r>
    </w:p>
    <w:p>
      <w:pPr>
        <w:pStyle w:val="Heading2"/>
        <w:keepNext/>
        <w:spacing w:line="480"/>
      </w:pPr>
      <w:r>
        <w:rPr>
          <w:rFonts w:ascii="Times New Roman" w:cs="Times New Roman" w:eastAsia="Times New Roman" w:hAnsi="Times New Roman"/>
          <w:b/>
          <w:bCs/>
          <w:sz w:val="24"/>
          <w:szCs w:val="24"/>
        </w:rPr>
        <w:t xml:space="preserve">Tecnologías y versiones</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Tecnologías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1800"/>
        <w:gridCol w:w="35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Capa</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Tecnología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Versión</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Uso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Python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3.14.7</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Lenguaje del backend (parte que corre en el servidor); se instala con pyenv (administrador de versiones de Python) y se aísla en un entorno virtual venv</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FastAPI y Uvicorn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API REST (canal estándar por el que la aplicación pide y envía datos al servidor) con validación Pydantic (biblioteca que valida los tipos y los rangos de los datos recibidos) 2 y servidor ASGI (estándar con el que se comunican el servidor web y la aplicación Python) que ejecuta la aplicación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SQLAlchemy (ORM de Python que conecta el código con la base de datos) 2, PyMySQL y Alembic (herramienta que versiona los cambios del esquema de la base de datos)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ORM (traduce tablas a clases Python), conector con la base de datos y migraciones (cambios versionados del esquema)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Base de datos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MariaDB</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10.11 o superior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Base de datos central en desarrollo, pruebas y producción, con juego de caracteres utf8mb4; en el equipo de cada integrante se instala con WampServer (paquete que instala Apache, MariaDB y phpMyAdmin en Windows). La demostración usa la versión 8 de MySQL (base de datos relacional compatible con MariaDB) y por eso el sistema solo emplea SQL y tipos comunes a ambos motores (los UUID se guardan como CHAR de 36 y no se usan columnas JSON)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 web</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Nginx</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Recibe las conexiones HTTPS (conexión web cifrada) y reenvía /api/ a Uvicorn (programa que ejecuta la aplicación FastAPI en el servidor)</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JavaScript (módulos ES)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Node 22 (solo para las pruebas)</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La PWA se sirve tal cual, sin paso de compilación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IndexedDB (envoltorio propio)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Navegador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Acceso a IndexedDB (base de datos que vive dentro del navegador) (almacenamiento local)</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Service Worker (programa del navegador que guarda la aplicación para usarla sin internet) y Cache API (memoria del navegador donde se guardan los archivos de la aplicación)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Navegador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Funcionamiento sin conexión e instalación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Argon2 (argon2-cffi)</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Protección de claves con sal</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pytest (herramienta para pruebas automáticas en Python), node:test (pruebas incluidas en Node) y Playwright</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del servidor (con el TestClient de FastAPI), del cliente y de extremo a extremo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Calidad</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SonarQube (herramienta que mide la calidad del código), flake8 y ESLint</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complejidad y duplicación</w:t>
            </w:r>
          </w:p>
        </w:tc>
      </w:tr>
    </w:tbl>
    <w:p>
      <w:pPr>
        <w:pStyle w:val="Heading2"/>
        <w:keepNext/>
        <w:spacing w:line="480"/>
      </w:pPr>
      <w:r>
        <w:rPr>
          <w:rFonts w:ascii="Times New Roman" w:cs="Times New Roman" w:eastAsia="Times New Roman" w:hAnsi="Times New Roman"/>
          <w:b/>
          <w:bCs/>
          <w:sz w:val="24"/>
          <w:szCs w:val="24"/>
        </w:rPr>
        <w:t xml:space="preserve">Entornos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Entornos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2300"/>
        <w:gridCol w:w="13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Entorno</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Para qué</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Base de datos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Correo</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Datos</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Desarrollo</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Programar en el computador de cada integrante</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MariaDB (base de datos relacional compatible con MySQL) local de WampServer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Consola del servidor (el código aparece en la terminal)</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Ejecutar el plan de pruebas y la integración continua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MariaDB temporal que se recrea en cada ejecución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Buzón en memoria; OTP_FIJO_PRUEBAS = 482915</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 y cargar_prueba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Demostración (gratuito)</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Revisión del profesor y sustentación</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MySQL 8 gratuito en la nube</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API HTTPS del proveedor de correo</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Producción</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Uso real con agricultores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MariaDB en el servidor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API HTTPS del proveedor de correo</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w:t>
            </w:r>
          </w:p>
        </w:tc>
      </w:tr>
    </w:tbl>
    <w:p>
      <w:pPr>
        <w:pStyle w:val="Heading2"/>
        <w:keepNext/>
        <w:spacing w:line="480"/>
      </w:pPr>
      <w:r>
        <w:rPr>
          <w:rFonts w:ascii="Times New Roman" w:cs="Times New Roman" w:eastAsia="Times New Roman" w:hAnsi="Times New Roman"/>
          <w:b/>
          <w:bCs/>
          <w:sz w:val="24"/>
          <w:szCs w:val="24"/>
        </w:rPr>
        <w:t xml:space="preserve">Servidor de producción (uso real)</w:t>
      </w:r>
    </w:p>
    <w:p>
      <w:pPr>
        <w:pStyle w:val="ListParagraph"/>
        <w:numPr>
          <w:ilvl w:val="0"/>
          <w:numId w:val="2"/>
        </w:numPr>
        <w:spacing w:line="480"/>
      </w:pPr>
      <w:r>
        <w:rPr>
          <w:rFonts w:ascii="Times New Roman" w:cs="Times New Roman" w:eastAsia="Times New Roman" w:hAnsi="Times New Roman"/>
          <w:sz w:val="24"/>
          <w:szCs w:val="24"/>
        </w:rPr>
        <w:t xml:space="preserve">Servidor virtual Linux (Ubuntu 24.04 LTS) con 2 núcleos, 8 GB de RAM y 50 GB de disco SSD, como exige el ERS.</w:t>
      </w:r>
    </w:p>
    <w:p>
      <w:pPr>
        <w:pStyle w:val="ListParagraph"/>
        <w:numPr>
          <w:ilvl w:val="0"/>
          <w:numId w:val="2"/>
        </w:numPr>
        <w:spacing w:line="480"/>
      </w:pPr>
      <w:r>
        <w:rPr>
          <w:rFonts w:ascii="Times New Roman" w:cs="Times New Roman" w:eastAsia="Times New Roman" w:hAnsi="Times New Roman"/>
          <w:sz w:val="24"/>
          <w:szCs w:val="24"/>
        </w:rPr>
        <w:t xml:space="preserve">Dominio propio con certificado gratuito de Let's Encrypt renovado automáticamente con certbot; solo se abren los puertos 80 (redirige a 443), 443 y 22 (solo con llave).</w:t>
      </w:r>
    </w:p>
    <w:p>
      <w:pPr>
        <w:pStyle w:val="ListParagraph"/>
        <w:numPr>
          <w:ilvl w:val="0"/>
          <w:numId w:val="2"/>
        </w:numPr>
        <w:spacing w:line="480"/>
      </w:pPr>
      <w:r>
        <w:rPr>
          <w:rFonts w:ascii="Times New Roman" w:cs="Times New Roman" w:eastAsia="Times New Roman" w:hAnsi="Times New Roman"/>
          <w:sz w:val="24"/>
          <w:szCs w:val="24"/>
        </w:rPr>
        <w:t xml:space="preserve">FastAPI (framework —conjunto de herramientas— en Python para construir APIs) corre con Uvicorn como servicio de systemd (programa que arranca y reinicia servicios); Nginx (servidor web que recibe las conexiones y las protege) entrega los archivos estáticos de la PWA (aplicación web progresiva: un sitio web que se instala como app y funciona sin internet) y reenvía /api/ a Uvicorn.</w:t>
      </w:r>
    </w:p>
    <w:p>
      <w:pPr>
        <w:pStyle w:val="ListParagraph"/>
        <w:numPr>
          <w:ilvl w:val="0"/>
          <w:numId w:val="2"/>
        </w:numPr>
        <w:spacing w:line="480"/>
      </w:pPr>
      <w:r>
        <w:rPr>
          <w:rFonts w:ascii="Times New Roman" w:cs="Times New Roman" w:eastAsia="Times New Roman" w:hAnsi="Times New Roman"/>
          <w:sz w:val="24"/>
          <w:szCs w:val="24"/>
        </w:rPr>
        <w:t xml:space="preserve">Copia de seguridad diaria a las 02:00 con mysqldump, comprimida y con retención de 7 días en un disco distinto al de la base de datos.</w:t>
      </w:r>
    </w:p>
    <w:p>
      <w:pPr>
        <w:pStyle w:val="Heading2"/>
        <w:keepNext/>
        <w:spacing w:line="480"/>
      </w:pPr>
      <w:r>
        <w:rPr>
          <w:rFonts w:ascii="Times New Roman" w:cs="Times New Roman" w:eastAsia="Times New Roman" w:hAnsi="Times New Roman"/>
          <w:b/>
          <w:bCs/>
          <w:sz w:val="24"/>
          <w:szCs w:val="24"/>
        </w:rPr>
        <w:t xml:space="preserve">Publicación gratuita para la demostración</w:t>
      </w:r>
    </w:p>
    <w:p>
      <w:pPr>
        <w:spacing w:after="0" w:line="480"/>
        <w:ind w:firstLine="720"/>
      </w:pPr>
      <w:r>
        <w:rPr>
          <w:rFonts w:ascii="Times New Roman" w:cs="Times New Roman" w:eastAsia="Times New Roman" w:hAnsi="Times New Roman"/>
          <w:sz w:val="24"/>
          <w:szCs w:val="24"/>
        </w:rPr>
        <w:t xml:space="preserve">Para que el profesor y los usuarios abran la aplicación desde internet sin costo, la sustentación se hace sobre un servicio de alojamiento gratuito. Se eligió esta combinación porque cada pieza tiene plan gratuito sin tarjeta de crédito y porque SQLAlchemy se conecta igual a MySQL que a MariaDB, el motor del servidor de producción, y el sistema solo usa SQL común a ambos. Las condiciones del plan gratuito de cada proveedor se consultaron al definir este documento (Aiven, s. f.; Brevo, s. f.; Copes, 2026; Render, 2025) y pueden cambiar, por lo que se revisan antes de la sustentación.</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Servicios del alojamiento gratuito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500"/>
        <w:gridCol w:w="28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Pieza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Servicio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Qué ofrece el plan gratuito</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Cómo se adapta el sistema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Aplicación web</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Servicio web de Render</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Dirección propia (sembrando-futuro.onrender.com, o con un sufijo si el nombre está ocupado), HTTPS automático, 512 MB de RAM, se suspende tras 15 minutos sin uso y tarda cerca de 1 minuto en volver, y el disco no guarda archivos entre reinicios</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Uvicorn atiende directamente y los archivos estáticos de la PWA los entrega FastAPI con StaticFiles (componente que sirve archivos de una carpeta); no se usa Nginx. La versión de Python se fija con la variable PYTHON_VERSION = 3.14.7 y el servicio arranca con uvicorn app.main:app --host 0.0.0.0 --port $PORT</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Base de datos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MySQL de Aiven</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 GB de memoria y 1 GB de disco, sin límite de tiempo; puede apagarse si no se usa, y se vuelve a encender desde el panel</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conexión usa TLS (tecnología que cifra la conexión); el servicio se enciende antes de la sustentación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Correo de los códigos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API HTTPS de Brevo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300 correos al día; el servicio web gratuito de Render bloquea los puertos SMTP (protocolo —reglas— para enviar correos electrónicos) 25, 465 y 587</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envío usa siempre la API por HTTPS (puerto 443), igual en la demostración y en producción</w:t>
            </w:r>
          </w:p>
        </w:tc>
      </w:tr>
    </w:tbl>
    <w:p>
      <w:pPr>
        <w:pStyle w:val="ListParagraph"/>
        <w:numPr>
          <w:ilvl w:val="0"/>
          <w:numId w:val="2"/>
        </w:numPr>
        <w:spacing w:line="480"/>
      </w:pPr>
      <w:r>
        <w:rPr>
          <w:rFonts w:ascii="Times New Roman" w:cs="Times New Roman" w:eastAsia="Times New Roman" w:hAnsi="Times New Roman"/>
          <w:sz w:val="24"/>
          <w:szCs w:val="24"/>
        </w:rPr>
        <w:t xml:space="preserve">Despliegue: cada cambio que llega a la rama main se publica solo, y las variables de entorno se configuran en el panel del proveedor, nunca en el repositorio.</w:t>
      </w:r>
    </w:p>
    <w:p>
      <w:pPr>
        <w:pStyle w:val="ListParagraph"/>
        <w:numPr>
          <w:ilvl w:val="0"/>
          <w:numId w:val="2"/>
        </w:numPr>
        <w:spacing w:line="480"/>
      </w:pPr>
      <w:r>
        <w:rPr>
          <w:rFonts w:ascii="Times New Roman" w:cs="Times New Roman" w:eastAsia="Times New Roman" w:hAnsi="Times New Roman"/>
          <w:sz w:val="24"/>
          <w:szCs w:val="24"/>
        </w:rPr>
        <w:t xml:space="preserve">Tareas programadas: el plan gratuito no trae programador de tareas. Por eso limpiar_pendientes y limpiar_bloqueos se ejecutan al arrancar el servicio y cada vez que se atiende un registro (A-01) o un ingreso (A-05); las reglas de 24 horas y de 15 minutos se evalúan además en el momento de cada consulta, de modo que el usuario ve el mismo comportamiento.</w:t>
      </w:r>
    </w:p>
    <w:p>
      <w:pPr>
        <w:pStyle w:val="ListParagraph"/>
        <w:numPr>
          <w:ilvl w:val="0"/>
          <w:numId w:val="2"/>
        </w:numPr>
        <w:spacing w:line="480"/>
      </w:pPr>
      <w:r>
        <w:rPr>
          <w:rFonts w:ascii="Times New Roman" w:cs="Times New Roman" w:eastAsia="Times New Roman" w:hAnsi="Times New Roman"/>
          <w:sz w:val="24"/>
          <w:szCs w:val="24"/>
        </w:rPr>
        <w:t xml:space="preserve">Copias de seguridad: antes de cada sustentación se hace una copia con mysqldump (herramienta presente en MySQL y en MariaDB) y se guarda fuera del servicio.</w:t>
      </w:r>
    </w:p>
    <w:p>
      <w:pPr>
        <w:pStyle w:val="ListParagraph"/>
        <w:numPr>
          <w:ilvl w:val="0"/>
          <w:numId w:val="2"/>
        </w:numPr>
        <w:spacing w:line="480"/>
      </w:pPr>
      <w:r>
        <w:rPr>
          <w:rFonts w:ascii="Times New Roman" w:cs="Times New Roman" w:eastAsia="Times New Roman" w:hAnsi="Times New Roman"/>
          <w:sz w:val="24"/>
          <w:szCs w:val="24"/>
        </w:rPr>
        <w:t xml:space="preserve">Disponibilidad: la meta de 99,0 % del RNF-10 se mide en el servidor de producción; en la demostración no se mide, porque el plan gratuito se suspende por inactividad. Las funciones del dispositivo siguen al 100 % sin conexión.</w:t>
      </w:r>
    </w:p>
    <w:p>
      <w:pPr>
        <w:pStyle w:val="ListParagraph"/>
        <w:numPr>
          <w:ilvl w:val="0"/>
          <w:numId w:val="2"/>
        </w:numPr>
        <w:spacing w:line="480"/>
      </w:pPr>
      <w:r>
        <w:rPr>
          <w:rFonts w:ascii="Times New Roman" w:cs="Times New Roman" w:eastAsia="Times New Roman" w:hAnsi="Times New Roman"/>
          <w:sz w:val="24"/>
          <w:szCs w:val="24"/>
        </w:rPr>
        <w:t xml:space="preserve">Antes de la sustentación se abre la dirección pública y se llama a GET /api/v1/salud (servicio H-01) para despertar el servicio y la base de datos, y luego se ejecuta la prueba de humo del documento 15.</w:t>
      </w:r>
    </w:p>
    <w:p>
      <w:pPr>
        <w:pStyle w:val="Heading2"/>
        <w:keepNext/>
        <w:spacing w:line="480"/>
      </w:pPr>
      <w:r>
        <w:rPr>
          <w:rFonts w:ascii="Times New Roman" w:cs="Times New Roman" w:eastAsia="Times New Roman" w:hAnsi="Times New Roman"/>
          <w:b/>
          <w:bCs/>
          <w:sz w:val="24"/>
          <w:szCs w:val="24"/>
        </w:rPr>
        <w:t xml:space="preserve">Correo de los códigos OTP</w:t>
      </w:r>
    </w:p>
    <w:p>
      <w:pPr>
        <w:spacing w:after="0" w:line="480"/>
        <w:ind w:firstLine="720"/>
      </w:pPr>
      <w:r>
        <w:rPr>
          <w:rFonts w:ascii="Times New Roman" w:cs="Times New Roman" w:eastAsia="Times New Roman" w:hAnsi="Times New Roman"/>
          <w:sz w:val="24"/>
          <w:szCs w:val="24"/>
        </w:rPr>
        <w:t xml:space="preserve">El correo de los códigos se envía siempre por la API HTTPS de Brevo, tanto en la demostración como en producción: usa el puerto 443, que ningún alojamiento bloquea (el plan gratuito de Render, por ejemplo, bloquea los puertos de SMTP), y responde de inmediato si el envío falla. El plan gratuito permite 300 correos al día, suficientes para la prueba piloto; si el volumen crece, se cambia de plan sin modificar el código. El correo no incluye enlaces, para que no se confunda con phishing (engaño para robar datos).</w:t>
      </w:r>
    </w:p>
    <w:p>
      <w:pPr>
        <w:pBdr>
          <w:left w:val="single" w:color="000000" w:sz="12" w:space="6"/>
        </w:pBdr>
        <w:spacing w:after="0" w:line="240"/>
        <w:ind w:left="360" w:right="360"/>
      </w:pPr>
      <w:r>
        <w:rPr>
          <w:rFonts w:ascii="Courier New" w:cs="Courier New" w:eastAsia="Courier New" w:hAnsi="Courier New"/>
          <w:sz w:val="18"/>
          <w:szCs w:val="18"/>
        </w:rPr>
        <w:t xml:space="preserve">Asunto: Su código de Sembrando Futuro</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0" w:line="240"/>
        <w:ind w:left="360" w:right="360"/>
      </w:pPr>
      <w:r>
        <w:rPr>
          <w:rFonts w:ascii="Courier New" w:cs="Courier New" w:eastAsia="Courier New" w:hAnsi="Courier New"/>
          <w:sz w:val="18"/>
          <w:szCs w:val="18"/>
        </w:rPr>
        <w:t xml:space="preserve">Hola, María:</w:t>
      </w:r>
    </w:p>
    <w:p>
      <w:pPr>
        <w:pBdr>
          <w:left w:val="single" w:color="000000" w:sz="12" w:space="6"/>
        </w:pBdr>
        <w:spacing w:after="0" w:line="240"/>
        <w:ind w:left="360" w:right="360"/>
      </w:pPr>
      <w:r>
        <w:rPr>
          <w:rFonts w:ascii="Courier New" w:cs="Courier New" w:eastAsia="Courier New" w:hAnsi="Courier New"/>
          <w:sz w:val="18"/>
          <w:szCs w:val="18"/>
        </w:rPr>
        <w:t xml:space="preserve">Su código de verificación es 482915.</w:t>
      </w:r>
    </w:p>
    <w:p>
      <w:pPr>
        <w:pBdr>
          <w:left w:val="single" w:color="000000" w:sz="12" w:space="6"/>
        </w:pBdr>
        <w:spacing w:after="0" w:line="240"/>
        <w:ind w:left="360" w:right="360"/>
      </w:pPr>
      <w:r>
        <w:rPr>
          <w:rFonts w:ascii="Courier New" w:cs="Courier New" w:eastAsia="Courier New" w:hAnsi="Courier New"/>
          <w:sz w:val="18"/>
          <w:szCs w:val="18"/>
        </w:rPr>
        <w:t xml:space="preserve">Vale 15 minutos. Si usted no creó una cuenta, ignore este mensaje.</w:t>
      </w:r>
    </w:p>
    <w:p>
      <w:pPr>
        <w:pBdr>
          <w:left w:val="single" w:color="000000" w:sz="12" w:space="6"/>
        </w:pBdr>
        <w:spacing w:after="160" w:line="240"/>
        <w:ind w:left="360" w:right="360"/>
      </w:pPr>
      <w:r>
        <w:rPr>
          <w:rFonts w:ascii="Courier New" w:cs="Courier New" w:eastAsia="Courier New" w:hAnsi="Courier New"/>
          <w:sz w:val="18"/>
          <w:szCs w:val="18"/>
        </w:rPr>
        <w:t xml:space="preserve">Nunca comparta este código con nadie.</w:t>
      </w:r>
    </w:p>
    <w:p>
      <w:pPr>
        <w:pStyle w:val="Heading2"/>
        <w:keepNext/>
        <w:spacing w:line="480"/>
      </w:pPr>
      <w:r>
        <w:rPr>
          <w:rFonts w:ascii="Times New Roman" w:cs="Times New Roman" w:eastAsia="Times New Roman" w:hAnsi="Times New Roman"/>
          <w:b/>
          <w:bCs/>
          <w:sz w:val="24"/>
          <w:szCs w:val="24"/>
        </w:rPr>
        <w:t xml:space="preserve">Variables de entorno</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Variables de entorno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3660"/>
      </w:tblGrid>
      <w:tr>
        <w:trPr>
          <w:tblHeader/>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Variable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Ejemplo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Descripción</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ENTORNO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produccion</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desarrollo, pruebas o produccion</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CLAVE_SECRETA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(secreta)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 interna del servidor que se mezcla con los hash de tokens y códigos OTP; nunca se sube al repositorio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DB_HOST, DB_PORT, DB_NAME, DB_USER, DB_PASSWORD</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localhost, 3307, sembrando_futuro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Conexión a la base de datos, leída del archivo .env (en WampServer el puerto es 3307); el repositorio solo trae .env.example sin claves</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DB_SSL_CA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ca.pem</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Solo en el alojamiento gratuito: ruta del certificado de la autoridad de la base de datos (Aiven exige conexión cifrada). Vacío en WampServer</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DOMINIO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sembrando-futuro.onrender.com</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Dominio permitido (hosts de confianza y CORS)</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CORS_ORIGENES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(vacío)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Orígenes permitidos por CORS, separados por coma; vacío cuando la PWA y el servicio salen del mismo dominio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PROXY_CONFIABLE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si</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Escribir «si» solo detrás del proxy de confianza del alojamiento (Render), para contar los límites por la IP real del visitante; por defecto «no»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PYTHON_VERSION</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3.14.7</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Solo en el alojamiento gratuito: fija la versión de Python del servicio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BREVO_API_KEY</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(secreta)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 de la API de correo de Brevo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CORREO_REMITENTE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mikaelramos@unicomfacauca.edu.co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Remitente de los códigos OTP; debe estar verificado en Brevo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OTP_FIJO_PRUEBAS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482915</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Solo en pruebas; en producción no existe</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TOKEN_DIAS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Vigencia de la sesión</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LIMITE_REGISTRO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5/hora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A-01</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LIMITE_INGRESO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A-02 y A-05</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LIMITE_REENVIO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6/hora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A-03 y A-04</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LIMITE_GENERAL</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A-06, C-01, S-01, S-02, R-01 y AD-01 a AD-05</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LIMITE_SALUD</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H-01</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CORREO_CONTACTO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mikaelramos@unicomfacauca.edu.co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 muestra en la vista «Política de datos y ayuda» (se abre con un enlace desde P-01, P-02 y P-26)</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DATABASE_URL, CARPETA_PWA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(vacío)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Opcionales. DATABASE_URL reemplaza a las variables DB_* (la usan las pruebas con SQLite); CARPETA_PWA cambia la carpeta de la PWA (por defecto, la carpeta frontend)</w:t>
            </w:r>
          </w:p>
        </w:tc>
      </w:tr>
    </w:tbl>
    <w:p>
      <w:pPr>
        <w:pStyle w:val="Heading2"/>
        <w:keepNext/>
        <w:spacing w:line="480"/>
      </w:pPr>
      <w:r>
        <w:rPr>
          <w:rFonts w:ascii="Times New Roman" w:cs="Times New Roman" w:eastAsia="Times New Roman" w:hAnsi="Times New Roman"/>
          <w:b/>
          <w:bCs/>
          <w:sz w:val="24"/>
          <w:szCs w:val="24"/>
        </w:rPr>
        <w:t xml:space="preserve">Tareas programadas</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Tareas automáticas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4160"/>
        <w:gridCol w:w="1300"/>
      </w:tblGrid>
      <w:tr>
        <w:trPr>
          <w:tblHeader/>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Tarea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Frecuencia</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hace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limpiar_pendientes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Cada hora</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Elimina las cuentas PENDIENTE con más de 24 horas; por cascada se van sus códigos y tokens, y el correo queda libre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V-15</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limpiar_bloqueos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Cada 5 minutos</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Quita el bloqueo de las cuentas cuyo plazo de 15 minutos terminó</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V-18</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limpiar_vencidos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Diaria, 03:00</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Borra los códigos OTP (código de un solo uso de 6 dígitos que llega al correo) usados o vencidos hace más de 24 horas, los tokens vencidos o revocados hace más de 30 días y los fallos de ingreso sin bloqueo vigente y sin cambios en 24 horas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V-11, V-18, V-46</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copia_seguridad</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Diaria, 02:00</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Respalda la base de datos y borra copias de más de 7 días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RNF-11</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certbot renew</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Dos veces al día</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Renueva el certificado HTTPS si le faltan menos de 30 días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RNF-14</w:t>
            </w:r>
          </w:p>
        </w:tc>
      </w:tr>
    </w:tbl>
    <w:p>
      <w:pPr>
        <w:pStyle w:val="Heading2"/>
        <w:keepNext/>
        <w:spacing w:line="480"/>
      </w:pPr>
      <w:r>
        <w:rPr>
          <w:rFonts w:ascii="Times New Roman" w:cs="Times New Roman" w:eastAsia="Times New Roman" w:hAnsi="Times New Roman"/>
          <w:b/>
          <w:bCs/>
          <w:sz w:val="24"/>
          <w:szCs w:val="24"/>
        </w:rPr>
        <w:t xml:space="preserve">Flujo de trabajo del equipo</w:t>
      </w:r>
    </w:p>
    <w:p>
      <w:pPr>
        <w:pStyle w:val="ListParagraph"/>
        <w:numPr>
          <w:ilvl w:val="0"/>
          <w:numId w:val="2"/>
        </w:numPr>
        <w:spacing w:line="480"/>
      </w:pPr>
      <w:r>
        <w:rPr>
          <w:rFonts w:ascii="Times New Roman" w:cs="Times New Roman" w:eastAsia="Times New Roman" w:hAnsi="Times New Roman"/>
          <w:sz w:val="24"/>
          <w:szCs w:val="24"/>
        </w:rPr>
        <w:t xml:space="preserve">Scrum: el trabajo se organiza en sprints de dos semanas; cada sprint termina con una demostración del incremento, una retrospectiva (reunión para decidir qué mejorar) y el informe de métricas del documento 23.</w:t>
      </w:r>
    </w:p>
    <w:p>
      <w:pPr>
        <w:pStyle w:val="ListParagraph"/>
        <w:numPr>
          <w:ilvl w:val="0"/>
          <w:numId w:val="2"/>
        </w:numPr>
        <w:spacing w:line="480"/>
      </w:pPr>
      <w:r>
        <w:rPr>
          <w:rFonts w:ascii="Times New Roman" w:cs="Times New Roman" w:eastAsia="Times New Roman" w:hAnsi="Times New Roman"/>
          <w:sz w:val="24"/>
          <w:szCs w:val="24"/>
        </w:rPr>
        <w:t xml:space="preserve">Repositorio en GitHub (sitio para guardar y compartir código) con dos ramas permanentes: main (lo que se entrega) y develop (lo que se integra). Cada funcionalidad se trabaja en una rama feature/RF-xx y entra a develop con un pull request (solicitud de integración) revisado por el otro integrante.</w:t>
      </w:r>
    </w:p>
    <w:p>
      <w:pPr>
        <w:pStyle w:val="ListParagraph"/>
        <w:numPr>
          <w:ilvl w:val="0"/>
          <w:numId w:val="2"/>
        </w:numPr>
        <w:spacing w:line="480"/>
      </w:pPr>
      <w:r>
        <w:rPr>
          <w:rFonts w:ascii="Times New Roman" w:cs="Times New Roman" w:eastAsia="Times New Roman" w:hAnsi="Times New Roman"/>
          <w:sz w:val="24"/>
          <w:szCs w:val="24"/>
        </w:rPr>
        <w:t xml:space="preserve">Mensajes de commit en español con el formato «tipo(RF-xx): resumen», por ejemplo «feat(RF-18): calcular matas (plantas, en el lenguaje del campo) por hectárea».</w:t>
      </w:r>
    </w:p>
    <w:p>
      <w:pPr>
        <w:pStyle w:val="ListParagraph"/>
        <w:numPr>
          <w:ilvl w:val="0"/>
          <w:numId w:val="2"/>
        </w:numPr>
        <w:spacing w:line="480"/>
      </w:pPr>
      <w:r>
        <w:rPr>
          <w:rFonts w:ascii="Times New Roman" w:cs="Times New Roman" w:eastAsia="Times New Roman" w:hAnsi="Times New Roman"/>
          <w:sz w:val="24"/>
          <w:szCs w:val="24"/>
        </w:rPr>
        <w:t>Integración continua con GitHub Actions: en cada pull request se revisa el estilo (flake8 y ESLint), se ejecutan las pruebas de pytest y de node:test, se mide la cobertura y se analiza con SonarQube. Un pull request solo se acepta si la cobertura es de al menos 80 %, la complejidad ciclomática (número de caminos de una función) es de 10 o menos y la duplicación es de 5 % o menos.</w:t>
      </w:r>
    </w:p>
    <w:p>
      <w:pPr>
        <w:pStyle w:val="ListParagraph"/>
        <w:numPr>
          <w:ilvl w:val="0"/>
          <w:numId w:val="2"/>
        </w:numPr>
        <w:spacing w:line="480"/>
      </w:pPr>
      <w:r>
        <w:rPr>
          <w:rFonts w:ascii="Times New Roman" w:cs="Times New Roman" w:eastAsia="Times New Roman" w:hAnsi="Times New Roman"/>
          <w:sz w:val="24"/>
          <w:szCs w:val="24"/>
        </w:rPr>
        <w:t xml:space="preserve">Cada defecto encontrado se registra con el identificador del caso de prueba que lo detectó, y se corrige antes de pasar al siguiente incremento.</w:t>
      </w:r>
    </w:p>
    <w:p>
      <w:pPr>
        <w:pStyle w:val="Heading2"/>
        <w:keepNext/>
        <w:spacing w:line="480"/>
      </w:pPr>
      <w:r>
        <w:rPr>
          <w:rFonts w:ascii="Times New Roman" w:cs="Times New Roman" w:eastAsia="Times New Roman" w:hAnsi="Times New Roman"/>
          <w:b/>
          <w:bCs/>
          <w:sz w:val="24"/>
          <w:szCs w:val="24"/>
        </w:rPr>
        <w:t xml:space="preserve">Estructura del repositorio</w:t>
      </w:r>
    </w:p>
    <w:p>
      <w:pPr>
        <w:pBdr>
          <w:left w:val="single" w:color="000000" w:sz="12" w:space="6"/>
        </w:pBdr>
        <w:spacing w:after="0" w:line="240"/>
        <w:ind w:left="360" w:right="360"/>
      </w:pPr>
      <w:r>
        <w:rPr>
          <w:rFonts w:ascii="Courier New" w:cs="Courier New" w:eastAsia="Courier New" w:hAnsi="Courier New"/>
          <w:sz w:val="18"/>
          <w:szCs w:val="18"/>
        </w:rPr>
        <w:t xml:space="preserve">sembrando-futuro/</w:t>
      </w:r>
    </w:p>
    <w:p>
      <w:pPr>
        <w:pBdr>
          <w:left w:val="single" w:color="000000" w:sz="12" w:space="6"/>
        </w:pBdr>
        <w:spacing w:after="0" w:line="240"/>
        <w:ind w:left="360" w:right="360"/>
      </w:pPr>
      <w:r>
        <w:rPr>
          <w:rFonts w:ascii="Courier New" w:cs="Courier New" w:eastAsia="Courier New" w:hAnsi="Courier New"/>
          <w:sz w:val="18"/>
          <w:szCs w:val="18"/>
        </w:rPr>
        <w:t xml:space="preserve">  backend/            FastAPI (Python 3.14.7)</w:t>
      </w:r>
    </w:p>
    <w:p>
      <w:pPr>
        <w:pBdr>
          <w:left w:val="single" w:color="000000" w:sz="12" w:space="6"/>
        </w:pBdr>
        <w:spacing w:after="0" w:line="240"/>
        <w:ind w:left="360" w:right="360"/>
      </w:pPr>
      <w:r>
        <w:rPr>
          <w:rFonts w:ascii="Courier New" w:cs="Courier New" w:eastAsia="Courier New" w:hAnsi="Courier New"/>
          <w:sz w:val="18"/>
          <w:szCs w:val="18"/>
        </w:rPr>
        <w:t xml:space="preserve">    app/</w:t>
      </w:r>
    </w:p>
    <w:p>
      <w:pPr>
        <w:pBdr>
          <w:left w:val="single" w:color="000000" w:sz="12" w:space="6"/>
        </w:pBdr>
        <w:spacing w:after="0" w:line="240"/>
        <w:ind w:left="360" w:right="360"/>
      </w:pPr>
      <w:r>
        <w:rPr>
          <w:rFonts w:ascii="Courier New" w:cs="Courier New" w:eastAsia="Courier New" w:hAnsi="Courier New"/>
          <w:sz w:val="18"/>
          <w:szCs w:val="18"/>
        </w:rPr>
        <w:t xml:space="preserve">      main.py         crea la aplicación, registra las rutas y los manejadores de error</w:t>
      </w:r>
    </w:p>
    <w:p>
      <w:pPr>
        <w:pBdr>
          <w:left w:val="single" w:color="000000" w:sz="12" w:space="6"/>
        </w:pBdr>
        <w:spacing w:after="0" w:line="240"/>
        <w:ind w:left="360" w:right="360"/>
      </w:pPr>
      <w:r>
        <w:rPr>
          <w:rFonts w:ascii="Courier New" w:cs="Courier New" w:eastAsia="Courier New" w:hAnsi="Courier New"/>
          <w:sz w:val="18"/>
          <w:szCs w:val="18"/>
        </w:rPr>
        <w:t xml:space="preserve">      cli.py          comandos crear_admin, cargar_semilla, cargar_prueba, listar_cuentas, resumen_cuenta, cambiar_clave, eliminar_cuenta, limpiar_pendientes, limpiar_bloqueos y limpiar_vencidos</w:t>
      </w:r>
    </w:p>
    <w:p>
      <w:pPr>
        <w:pBdr>
          <w:left w:val="single" w:color="000000" w:sz="12" w:space="6"/>
        </w:pBdr>
        <w:spacing w:after="0" w:line="240"/>
        <w:ind w:left="360" w:right="360"/>
      </w:pPr>
      <w:r>
        <w:rPr>
          <w:rFonts w:ascii="Courier New" w:cs="Courier New" w:eastAsia="Courier New" w:hAnsi="Courier New"/>
          <w:sz w:val="18"/>
          <w:szCs w:val="18"/>
        </w:rPr>
        <w:t xml:space="preserve">      routers/        auth, catalogo, sync, ciclos, salud y admin (servicios A, C, S, R, H y AD)</w:t>
      </w:r>
    </w:p>
    <w:p>
      <w:pPr>
        <w:pBdr>
          <w:left w:val="single" w:color="000000" w:sz="12" w:space="6"/>
        </w:pBdr>
        <w:spacing w:after="0" w:line="240"/>
        <w:ind w:left="360" w:right="360"/>
      </w:pPr>
      <w:r>
        <w:rPr>
          <w:rFonts w:ascii="Courier New" w:cs="Courier New" w:eastAsia="Courier New" w:hAnsi="Courier New"/>
          <w:sz w:val="18"/>
          <w:szCs w:val="18"/>
        </w:rPr>
        <w:t xml:space="preserve">      schemas/        esquemas Pydantic de entrada y de salida</w:t>
      </w:r>
    </w:p>
    <w:p>
      <w:pPr>
        <w:pBdr>
          <w:left w:val="single" w:color="000000" w:sz="12" w:space="6"/>
        </w:pBdr>
        <w:spacing w:after="0" w:line="240"/>
        <w:ind w:left="360" w:right="360"/>
      </w:pPr>
      <w:r>
        <w:rPr>
          <w:rFonts w:ascii="Courier New" w:cs="Courier New" w:eastAsia="Courier New" w:hAnsi="Courier New"/>
          <w:sz w:val="18"/>
          <w:szCs w:val="18"/>
        </w:rPr>
        <w:t xml:space="preserve">      services/       lógica de aplicación: cuentas, otp, catalogo, sync, resumen y admin</w:t>
      </w:r>
    </w:p>
    <w:p>
      <w:pPr>
        <w:pBdr>
          <w:left w:val="single" w:color="000000" w:sz="12" w:space="6"/>
        </w:pBdr>
        <w:spacing w:after="0" w:line="240"/>
        <w:ind w:left="360" w:right="360"/>
      </w:pPr>
      <w:r>
        <w:rPr>
          <w:rFonts w:ascii="Courier New" w:cs="Courier New" w:eastAsia="Courier New" w:hAnsi="Courier New"/>
          <w:sz w:val="18"/>
          <w:szCs w:val="18"/>
        </w:rPr>
        <w:t xml:space="preserve">      domain/         fórmulas (matas, área efectiva, utilidad) y reglas V-xx puras</w:t>
      </w:r>
    </w:p>
    <w:p>
      <w:pPr>
        <w:pBdr>
          <w:left w:val="single" w:color="000000" w:sz="12" w:space="6"/>
        </w:pBdr>
        <w:spacing w:after="0" w:line="240"/>
        <w:ind w:left="360" w:right="360"/>
      </w:pPr>
      <w:r>
        <w:rPr>
          <w:rFonts w:ascii="Courier New" w:cs="Courier New" w:eastAsia="Courier New" w:hAnsi="Courier New"/>
          <w:sz w:val="18"/>
          <w:szCs w:val="18"/>
        </w:rPr>
        <w:t xml:space="preserve">      models/         modelos SQLAlchemy: usuario, cultivo, ficha_tecnica, finca, ciclo, ciclo_cultivo, gasto, jornal, ingreso</w:t>
      </w:r>
    </w:p>
    <w:p>
      <w:pPr>
        <w:pBdr>
          <w:left w:val="single" w:color="000000" w:sz="12" w:space="6"/>
        </w:pBdr>
        <w:spacing w:after="0" w:line="240"/>
        <w:ind w:left="360" w:right="360"/>
      </w:pPr>
      <w:r>
        <w:rPr>
          <w:rFonts w:ascii="Courier New" w:cs="Courier New" w:eastAsia="Courier New" w:hAnsi="Courier New"/>
          <w:sz w:val="18"/>
          <w:szCs w:val="18"/>
        </w:rPr>
        <w:t xml:space="preserve">      database/       connection.py: motor, sesión y get_db (lee el archivo .env)</w:t>
      </w:r>
    </w:p>
    <w:p>
      <w:pPr>
        <w:pBdr>
          <w:left w:val="single" w:color="000000" w:sz="12" w:space="6"/>
        </w:pBdr>
        <w:spacing w:after="0" w:line="240"/>
        <w:ind w:left="360" w:right="360"/>
      </w:pPr>
      <w:r>
        <w:rPr>
          <w:rFonts w:ascii="Courier New" w:cs="Courier New" w:eastAsia="Courier New" w:hAnsi="Courier New"/>
          <w:sz w:val="18"/>
          <w:szCs w:val="18"/>
        </w:rPr>
        <w:t xml:space="preserve">      core/           config.py (variables del .env), seguridad.py (Argon2, tokens y exigir_admin),</w:t>
      </w:r>
    </w:p>
    <w:p>
      <w:pPr>
        <w:pBdr>
          <w:left w:val="single" w:color="000000" w:sz="12" w:space="6"/>
        </w:pBdr>
        <w:spacing w:after="0" w:line="240"/>
        <w:ind w:left="360" w:right="360"/>
      </w:pPr>
      <w:r>
        <w:rPr>
          <w:rFonts w:ascii="Courier New" w:cs="Courier New" w:eastAsia="Courier New" w:hAnsi="Courier New"/>
          <w:sz w:val="18"/>
          <w:szCs w:val="18"/>
        </w:rPr>
        <w:t xml:space="preserve">                  errores.py (códigos V-xx y E-xx) y limites.py (límite de peticiones por IP)</w:t>
      </w:r>
    </w:p>
    <w:p>
      <w:pPr>
        <w:pBdr>
          <w:left w:val="single" w:color="000000" w:sz="12" w:space="6"/>
        </w:pBdr>
        <w:spacing w:after="0" w:line="240"/>
        <w:ind w:left="360" w:right="360"/>
      </w:pPr>
      <w:r>
        <w:rPr>
          <w:rFonts w:ascii="Courier New" w:cs="Courier New" w:eastAsia="Courier New" w:hAnsi="Courier New"/>
          <w:sz w:val="18"/>
          <w:szCs w:val="18"/>
        </w:rPr>
        <w:t xml:space="preserve">    alembic/          migraciones del esquema</w:t>
      </w:r>
    </w:p>
    <w:p>
      <w:pPr>
        <w:pBdr>
          <w:left w:val="single" w:color="000000" w:sz="12" w:space="6"/>
        </w:pBdr>
        <w:spacing w:after="0" w:line="240"/>
        <w:ind w:left="360" w:right="360"/>
      </w:pPr>
      <w:r>
        <w:rPr>
          <w:rFonts w:ascii="Courier New" w:cs="Courier New" w:eastAsia="Courier New" w:hAnsi="Courier New"/>
          <w:sz w:val="18"/>
          <w:szCs w:val="18"/>
        </w:rPr>
        <w:t xml:space="preserve">    tests/            pytest</w:t>
      </w:r>
    </w:p>
    <w:p>
      <w:pPr>
        <w:pBdr>
          <w:left w:val="single" w:color="000000" w:sz="12" w:space="6"/>
        </w:pBdr>
        <w:spacing w:after="0" w:line="240"/>
        <w:ind w:left="360" w:right="360"/>
      </w:pPr>
      <w:r>
        <w:rPr>
          <w:rFonts w:ascii="Courier New" w:cs="Courier New" w:eastAsia="Courier New" w:hAnsi="Courier New"/>
          <w:sz w:val="18"/>
          <w:szCs w:val="18"/>
        </w:rPr>
        <w:t xml:space="preserve">    requirements.txt  requirements-dev.txt  .flake8  .env.example  .python-version</w:t>
      </w:r>
    </w:p>
    <w:p>
      <w:pPr>
        <w:pBdr>
          <w:left w:val="single" w:color="000000" w:sz="12" w:space="6"/>
        </w:pBdr>
        <w:spacing w:after="0" w:line="240"/>
        <w:ind w:left="360" w:right="360"/>
      </w:pPr>
      <w:r>
        <w:rPr>
          <w:rFonts w:ascii="Courier New" w:cs="Courier New" w:eastAsia="Courier New" w:hAnsi="Courier New"/>
          <w:sz w:val="18"/>
          <w:szCs w:val="18"/>
        </w:rPr>
        <w:t xml:space="preserve">  frontend/           PWA: src/pantallas (P-01 a P-28), src/calculos, src/db (IndexedDB), sw.js, eslint.config.js</w:t>
      </w:r>
    </w:p>
    <w:p>
      <w:pPr>
        <w:pBdr>
          <w:left w:val="single" w:color="000000" w:sz="12" w:space="6"/>
        </w:pBdr>
        <w:spacing w:after="0" w:line="240"/>
        <w:ind w:left="360" w:right="360"/>
      </w:pPr>
      <w:r>
        <w:rPr>
          <w:rFonts w:ascii="Courier New" w:cs="Courier New" w:eastAsia="Courier New" w:hAnsi="Courier New"/>
          <w:sz w:val="18"/>
          <w:szCs w:val="18"/>
        </w:rPr>
        <w:t xml:space="preserve">  datos/              semilla_catalogo.json, datos_prueba.json</w:t>
      </w:r>
    </w:p>
    <w:p>
      <w:pPr>
        <w:pBdr>
          <w:left w:val="single" w:color="000000" w:sz="12" w:space="6"/>
        </w:pBdr>
        <w:spacing w:after="0" w:line="240"/>
        <w:ind w:left="360" w:right="360"/>
      </w:pPr>
      <w:r>
        <w:rPr>
          <w:rFonts w:ascii="Courier New" w:cs="Courier New" w:eastAsia="Courier New" w:hAnsi="Courier New"/>
          <w:sz w:val="18"/>
          <w:szCs w:val="18"/>
        </w:rPr>
        <w:t xml:space="preserve">  docs/               los documentos 01 a 23</w:t>
      </w:r>
    </w:p>
    <w:p>
      <w:pPr>
        <w:pBdr>
          <w:left w:val="single" w:color="000000" w:sz="12" w:space="6"/>
        </w:pBdr>
        <w:spacing w:after="160" w:line="240"/>
        <w:ind w:left="360" w:right="360"/>
      </w:pPr>
      <w:r>
        <w:rPr>
          <w:rFonts w:ascii="Courier New" w:cs="Courier New" w:eastAsia="Courier New" w:hAnsi="Courier New"/>
          <w:sz w:val="18"/>
          <w:szCs w:val="18"/>
        </w:rPr>
        <w:t xml:space="preserve">  .github/workflows/  integración continua      sonar-project.properties  análisis de calidad  render.yaml  despliegue</w:t>
      </w:r>
    </w:p>
    <w:p>
      <w:pPr>
        <w:pStyle w:val="Heading2"/>
        <w:keepNext/>
        <w:spacing w:line="480"/>
      </w:pPr>
      <w:r>
        <w:rPr>
          <w:rFonts w:ascii="Times New Roman" w:cs="Times New Roman" w:eastAsia="Times New Roman" w:hAnsi="Times New Roman"/>
          <w:b/>
          <w:bCs/>
          <w:sz w:val="24"/>
          <w:szCs w:val="24"/>
        </w:rPr>
        <w:t xml:space="preserve">Pruebas automáticas</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Qué herramienta ejecuta cada tipo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Prueba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Herramienta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cubre</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Reglas del servidor, API y sincronización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pytest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Validaciones V-xx, servicios A, C, S, R, H y AD y tareas programadas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Cálculos y validaciones del dispositivo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node:test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Fórmulas de matas, área efectiva y utilidad; reglas de campos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Flujos completos en el navegador</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Playwright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caja negra (pruebas que no miran el código, solo entradas y salidas) del plan de pruebas, con y sin conexión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Rendimiento y PWA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Lighthouse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Tiempo de respuesta, instalación, accesibilidad (RNF-01, RNF-07)</w:t>
            </w:r>
          </w:p>
        </w:tc>
      </w:tr>
    </w:tbl>
    <w:p>
      <w:pPr>
        <w:pStyle w:val="Heading2"/>
        <w:keepNext/>
        <w:spacing w:line="480"/>
      </w:pPr>
      <w:r>
        <w:rPr>
          <w:rFonts w:ascii="Times New Roman" w:cs="Times New Roman" w:eastAsia="Times New Roman" w:hAnsi="Times New Roman"/>
          <w:b/>
          <w:bCs/>
          <w:sz w:val="24"/>
          <w:szCs w:val="24"/>
        </w:rPr>
        <w:t>Funcionamiento sin conexión y calidad del producto</w:t>
      </w:r>
    </w:p>
    <w:p>
      <w:pPr>
        <w:spacing w:after="0" w:line="480"/>
        <w:ind w:firstLine="720"/>
      </w:pPr>
      <w:r>
        <w:rPr>
          <w:rFonts w:ascii="Times New Roman" w:cs="Times New Roman" w:eastAsia="Times New Roman" w:hAnsi="Times New Roman"/>
          <w:sz w:val="24"/>
          <w:szCs w:val="24"/>
        </w:rPr>
        <w:t>Sembrando Futuro es una aplicación web progresiva (PWA) que sigue funcionando cuando se pierde la conexión. La decisión responde al contexto de uso: el agricultor registra gastos, jornales e ingresos en la finca, y en las zonas rurales la señal de internet es débil o intermitente. Una aplicación que solo funcionara con conexión perdería esos registros justo donde se generan.</w:t>
      </w:r>
    </w:p>
    <w:p>
      <w:pPr>
        <w:spacing w:after="0" w:line="480"/>
        <w:ind w:firstLine="720"/>
      </w:pPr>
      <w:r>
        <w:rPr>
          <w:rFonts w:ascii="Times New Roman" w:cs="Times New Roman" w:eastAsia="Times New Roman" w:hAnsi="Times New Roman"/>
          <w:sz w:val="24"/>
          <w:szCs w:val="24"/>
        </w:rPr>
        <w:t>Funcionamiento: sin conexión, cada cambio se guarda en la base de datos local del navegador (celular o computador) y la pantalla lo muestra de inmediato. Cuando vuelve la conexión, la aplicación envía los cambios pendientes al servidor (S-01) y recibe los de otros dispositivos (S-02). Si el mismo dato cambió en dos dispositivos, gana el cambio más reciente.</w:t>
      </w:r>
    </w:p>
    <w:p>
      <w:pPr>
        <w:spacing w:after="0" w:line="480"/>
        <w:ind w:firstLine="720"/>
      </w:pPr>
      <w:r>
        <w:rPr>
          <w:rFonts w:ascii="Times New Roman" w:cs="Times New Roman" w:eastAsia="Times New Roman" w:hAnsi="Times New Roman"/>
          <w:sz w:val="24"/>
          <w:szCs w:val="24"/>
        </w:rPr>
        <w:t>Borrado lógico: para que un borrado hecho sin conexión llegue a los demás dispositivos, los gastos, jornales e ingresos no se eliminan de la base de datos; se marcan con el campo eliminado. Las fincas, los ciclos y los cultivos del ciclo no se borran desde la aplicación (un ciclo se cierra), por eso estas tres tablas no tienen ese campo.</w:t>
      </w:r>
    </w:p>
    <w:p>
      <w:pPr>
        <w:spacing w:after="0" w:line="480"/>
        <w:ind w:firstLine="720"/>
      </w:pPr>
      <w:r>
        <w:rPr>
          <w:rFonts w:ascii="Times New Roman" w:cs="Times New Roman" w:eastAsia="Times New Roman" w:hAnsi="Times New Roman"/>
          <w:sz w:val="24"/>
          <w:szCs w:val="24"/>
        </w:rPr>
        <w:t>Relación con la norma ISO/IEC 25010 (ISO/IEC, 2011): la capacidad de trabajar sin conexión aporta a la fiabilidad (tolerancia a fallos y recuperabilidad: el dato no se pierde si cae la red) y a la usabilidad (el usuario puede registrar en el sitio de trabajo sin esperar señal).</w:t>
      </w:r>
    </w:p>
    <w:p>
      <w:pPr>
        <w:spacing w:after="0" w:line="480"/>
        <w:ind w:firstLine="720"/>
      </w:pPr>
      <w:r>
        <w:rPr>
          <w:rFonts w:ascii="Times New Roman" w:cs="Times New Roman" w:eastAsia="Times New Roman" w:hAnsi="Times New Roman"/>
          <w:sz w:val="24"/>
          <w:szCs w:val="24"/>
        </w:rPr>
        <w:t>Costo asumido: la sincronización agrega complejidad (resolución de conflictos, borrado lógico y más casos de prueba). Esa complejidad se controla con las pruebas de sincronización y de punta a punta. Limitación: los cambios que aún no se han sincronizado viven solo en ese navegador; si el usuario borra los datos del navegador antes de sincronizar, se pierden.</w:t>
      </w:r>
    </w:p>
    <w:p>
      <w:pPr>
        <w:spacing w:after="0" w:line="480"/>
        <w:ind w:firstLine="720"/>
      </w:pPr>
      <w:r>
        <w:rPr>
          <w:rFonts w:ascii="Times New Roman" w:cs="Times New Roman" w:eastAsia="Times New Roman" w:hAnsi="Times New Roman"/>
          <w:sz w:val="24"/>
          <w:szCs w:val="24"/>
        </w:rPr>
        <w:t>Decisión de simplicidad: la PWA no usa Vite ni Dexie. Es JavaScript de módulos que el navegador carga directamente (sin paso de compilación), y el acceso a IndexedDB lo hace un envoltorio propio de unas 60 líneas (src/db/db.js) con la misma forma de uso que Dexie. Así hay menos dependencias que instalar, actualizar y vigilar, y el servicio publica la carpeta frontend tal cual. Las pruebas del dispositivo usan node:test, incluido en Node 22, en lugar de Vitest.</w:t>
      </w:r>
    </w:p>
    <w:p>
      <w:pPr>
        <w:pStyle w:val="Heading2"/>
        <w:keepNext/>
        <w:spacing w:line="480"/>
      </w:pPr>
      <w:r>
        <w:rPr>
          <w:rFonts w:ascii="Times New Roman" w:cs="Times New Roman" w:eastAsia="Times New Roman" w:hAnsi="Times New Roman"/>
          <w:b/>
          <w:bCs/>
          <w:sz w:val="24"/>
          <w:szCs w:val="24"/>
        </w:rPr>
        <w:t xml:space="preserve">Texto legal</w:t>
      </w:r>
    </w:p>
    <w:p>
      <w:pPr>
        <w:pStyle w:val="Heading3"/>
        <w:keepNext/>
        <w:spacing w:line="480"/>
      </w:pPr>
      <w:r>
        <w:rPr>
          <w:rFonts w:ascii="Times New Roman" w:cs="Times New Roman" w:eastAsia="Times New Roman" w:hAnsi="Times New Roman"/>
          <w:b/>
          <w:bCs/>
          <w:i/>
          <w:iCs/>
          <w:sz w:val="24"/>
          <w:szCs w:val="24"/>
        </w:rPr>
        <w:t xml:space="preserve">Autorización que se muestra junto a la casilla del registro</w:t>
      </w:r>
    </w:p>
    <w:p>
      <w:pPr>
        <w:spacing w:after="0" w:line="480"/>
      </w:pPr>
      <w:r>
        <w:rPr>
          <w:rFonts w:ascii="Times New Roman" w:cs="Times New Roman" w:eastAsia="Times New Roman" w:hAnsi="Times New Roman"/>
          <w:sz w:val="24"/>
          <w:szCs w:val="24"/>
        </w:rPr>
        <w:t xml:space="preserve">«Autorizo a los responsables de Sembrando Futuro para recolectar, almacenar y usar mis datos personales (nombre, correo, ubicación y datos de mis cultivos) con el fin de prestarme el servicio de la aplicación, según la Política de Tratamiento de Datos Personales. Sé que puedo conocer, corregir o pedir la eliminación de mis datos cuando quiera.»</w:t>
      </w:r>
    </w:p>
    <w:p>
      <w:pPr>
        <w:spacing w:after="0" w:line="480"/>
        <w:ind w:firstLine="720"/>
      </w:pPr>
      <w:r>
        <w:rPr>
          <w:rFonts w:ascii="Times New Roman" w:cs="Times New Roman" w:eastAsia="Times New Roman" w:hAnsi="Times New Roman"/>
          <w:sz w:val="24"/>
          <w:szCs w:val="24"/>
        </w:rPr>
        <w:t xml:space="preserve">La casilla comienza sin marcar. Sin marcarla no se puede crear la cuenta (V-08). Al registrarse, el sistema guarda que el usuario aceptó y la fecha y hora de la aceptación.</w:t>
      </w:r>
    </w:p>
    <w:p>
      <w:pPr>
        <w:pStyle w:val="Heading3"/>
        <w:keepNext/>
        <w:spacing w:line="480"/>
      </w:pPr>
      <w:r>
        <w:rPr>
          <w:rFonts w:ascii="Times New Roman" w:cs="Times New Roman" w:eastAsia="Times New Roman" w:hAnsi="Times New Roman"/>
          <w:b/>
          <w:bCs/>
          <w:i/>
          <w:iCs/>
          <w:sz w:val="24"/>
          <w:szCs w:val="24"/>
        </w:rPr>
        <w:t xml:space="preserve">Política de tratamiento de datos personales</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Política de tratamiento de datos personales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Aspecto</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Texto de la política</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Responsables</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 Steven Ramos Musse y Kevin Zambrano, estudiantes de Ingeniería de Sistemas de la Corporación Universitaria Comfacauca (Unicomfacauca), en el proyecto académico Sembrando Futuro.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Datos que se recolectan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 correo electrónico, ubicación (municipio o vereda), clave (guardada solo como hash con sal) y los datos que el usuario registra: fincas, ciclos, gastos, jornales (días de trabajo de una persona en el campo) e ingresos. No se piden datos sensibles ni de menores.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qué se usan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y proteger la cuenta, enviar el código de verificación, calcular matas por hectárea y utilidad, y sincronizar los datos entre el dispositivo y el servidor. No se usan para publicidad.</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quién se comparten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nadie. No se venden ni se ceden a terceros. El correo del código lo transporta el proveedor de correo del proyecto, que solo ve la dirección y el mensaje.</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Derechos del titular</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Conocer, actualizar y rectificar sus datos; pedir prueba de la autorización; saber cómo se usan; presentar quejas ante la Superintendencia de Industria y Comercio; revocar la autorización y pedir la eliminación de sus datos; acceder gratis a ellos (Congreso de la República de Colombia, 2012).</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Cómo ejercerlos</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Escribiendo al correo mikaelramos@unicomfacauca.edu.co. Las consultas se responden en máximo 10 días hábiles y los reclamos en máximo 15 días hábiles. La eliminación de la cuenta la ejecuta el administrador con el servicio AD-03 de la API y borra todos los datos del usuario.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Cuánto tiempo se guardan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Mientras la cuenta esté activa. Una cuenta que no se activa en 24 horas se elimina sola con su código.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Conexión HTTPS, claves con Argon2 (algoritmo moderno para cifrar contraseñas) y sal, códigos y tokens guardados como hash (huella cifrada de la clave que no se puede revertir), acceso a cada registro solo por su dueño y copias de seguridad diarias.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Vigencia</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política rige desde el primer registro de usuarios y se publica en la vista «Política de datos y ayuda» (se abre con un enlace desde P-01, P-02 y P-26).</w:t>
            </w:r>
          </w:p>
        </w:tc>
      </w:tr>
    </w:tbl>
    <w:p>
      <w:pPr>
        <w:pStyle w:val="Heading2"/>
        <w:keepNext/>
        <w:spacing w:line="480"/>
      </w:pPr>
      <w:r>
        <w:rPr>
          <w:rFonts w:ascii="Times New Roman" w:cs="Times New Roman" w:eastAsia="Times New Roman" w:hAnsi="Times New Roman"/>
          <w:b/>
          <w:bCs/>
          <w:sz w:val="24"/>
          <w:szCs w:val="24"/>
        </w:rPr>
        <w:t xml:space="preserve">Verificación de coherencia por requisito funcional</w:t>
      </w:r>
    </w:p>
    <w:p>
      <w:pPr>
        <w:spacing w:after="0" w:line="480"/>
        <w:ind w:firstLine="720"/>
      </w:pPr>
      <w:r>
        <w:rPr>
          <w:rFonts w:ascii="Times New Roman" w:cs="Times New Roman" w:eastAsia="Times New Roman" w:hAnsi="Times New Roman"/>
          <w:sz w:val="24"/>
          <w:szCs w:val="24"/>
        </w:rPr>
        <w:t xml:space="preserve">La tabla siguiente comprueba que cada requisito funcional recorre los documentos de punta a punta: tiene pantalla (documento 17), servicio o procesamiento local (documento 18), reglas de validación con su mensaje (Apéndice J), datos de prueba (documento 19) y casos de prueba (documento 14).</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Recorrido de cada requisito funcional por la documentación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2060"/>
        <w:gridCol w:w="1200"/>
        <w:gridCol w:w="1100"/>
      </w:tblGrid>
      <w:tr>
        <w:trPr>
          <w:tblHeader/>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RF</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Pantallas</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Servicio</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Reglas V-xx</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 funcionales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 de validación</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pantalla (servicios AD)</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crear_admin y AD-01 a AD-03 y AD-05</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P-01, P-02, P-03, P-04, P-05, P-06</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A-01 a A-04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 a V-15 (15)</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21</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P-01, P-07, P-08</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A-05</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 a V-19 (4)</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P-26</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A-06</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P-09, P-10</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P-11, P-12</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 a V-25 (4)</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P-13</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P-14</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 a V-48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 a V-31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P-16, P-17</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C-01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P-18, P-19</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 a V-34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P-21</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 a V-47 (5)</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P-22</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 a V-40 (2)</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P-23</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 a V-42 (2)</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P-24</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P-10, P-20</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P-10, P-25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S-02</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 a V-46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P-16, P-17</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cargar_semilla y AD-04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Total: 115 casos funcionales y 98 casos de validación (dos por regla: uno válido y uno inválido). Los 12 casos de requisitos no funcionales y los 4 generales completan los 229 casos del plan.</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Aiven. (s. f.). </w:t>
      </w:r>
      <w:r>
        <w:rPr>
          <w:rFonts w:ascii="Times New Roman" w:cs="Times New Roman" w:eastAsia="Times New Roman" w:hAnsi="Times New Roman"/>
          <w:i/>
          <w:iCs/>
          <w:sz w:val="24"/>
          <w:szCs w:val="24"/>
        </w:rPr>
        <w:t xml:space="preserve">MySQL free tier</w:t>
      </w:r>
      <w:r>
        <w:rPr>
          <w:rFonts w:ascii="Times New Roman" w:cs="Times New Roman" w:eastAsia="Times New Roman" w:hAnsi="Times New Roman"/>
          <w:sz w:val="24"/>
          <w:szCs w:val="24"/>
        </w:rPr>
        <w:t xml:space="preserve">. https://aiven.io/docs/products/mysql/concepts/mysql-free-tier</w:t>
      </w:r>
    </w:p>
    <w:p>
      <w:pPr>
        <w:spacing w:line="480"/>
        <w:ind w:left="720" w:hanging="720"/>
      </w:pPr>
      <w:r>
        <w:rPr>
          <w:rFonts w:ascii="Times New Roman" w:cs="Times New Roman" w:eastAsia="Times New Roman" w:hAnsi="Times New Roman"/>
          <w:sz w:val="24"/>
          <w:szCs w:val="24"/>
        </w:rPr>
        <w:t xml:space="preserve">Brevo. (s. f.). </w:t>
      </w:r>
      <w:r>
        <w:rPr>
          <w:rFonts w:ascii="Times New Roman" w:cs="Times New Roman" w:eastAsia="Times New Roman" w:hAnsi="Times New Roman"/>
          <w:i/>
          <w:iCs/>
          <w:sz w:val="24"/>
          <w:szCs w:val="24"/>
        </w:rPr>
        <w:t xml:space="preserve">Free email API for developers</w:t>
      </w:r>
      <w:r>
        <w:rPr>
          <w:rFonts w:ascii="Times New Roman" w:cs="Times New Roman" w:eastAsia="Times New Roman" w:hAnsi="Times New Roman"/>
          <w:sz w:val="24"/>
          <w:szCs w:val="24"/>
        </w:rPr>
        <w:t xml:space="preserve">. https://www.brevo.com/features/email-api/</w:t>
      </w:r>
    </w:p>
    <w:p>
      <w:pPr>
        <w:spacing w:line="480"/>
        <w:ind w:left="720" w:hanging="720"/>
      </w:pPr>
      <w:r>
        <w:rPr>
          <w:rFonts w:ascii="Times New Roman" w:cs="Times New Roman" w:eastAsia="Times New Roman" w:hAnsi="Times New Roman"/>
          <w:sz w:val="24"/>
          <w:szCs w:val="24"/>
        </w:rPr>
        <w:t xml:space="preserve">Congreso de la República de Colombia. (2012, 17 de octubre). </w:t>
      </w:r>
      <w:r>
        <w:rPr>
          <w:rFonts w:ascii="Times New Roman" w:cs="Times New Roman" w:eastAsia="Times New Roman" w:hAnsi="Times New Roman"/>
          <w:i/>
          <w:iCs/>
          <w:sz w:val="24"/>
          <w:szCs w:val="24"/>
        </w:rPr>
        <w:t xml:space="preserve">Ley Estatutaria 1581 de 2012: Por la cual se dictan disposiciones generales para la protección de datos personales</w:t>
      </w:r>
      <w:r>
        <w:rPr>
          <w:rFonts w:ascii="Times New Roman" w:cs="Times New Roman" w:eastAsia="Times New Roman" w:hAnsi="Times New Roman"/>
          <w:sz w:val="24"/>
          <w:szCs w:val="24"/>
        </w:rPr>
        <w:t xml:space="preserve">. Diario Oficial No. 48.587. http://www.secretariasenado.gov.co/senado/basedoc/ley_1581_2012.html</w:t>
      </w:r>
    </w:p>
    <w:p>
      <w:pPr>
        <w:spacing w:line="480"/>
        <w:ind w:left="720" w:hanging="720"/>
      </w:pPr>
      <w:r>
        <w:rPr>
          <w:rFonts w:ascii="Times New Roman" w:cs="Times New Roman" w:eastAsia="Times New Roman" w:hAnsi="Times New Roman"/>
          <w:sz w:val="24"/>
          <w:szCs w:val="24"/>
        </w:rPr>
        <w:t xml:space="preserve">Copes, F. (2026). </w:t>
      </w:r>
      <w:r>
        <w:rPr>
          <w:rFonts w:ascii="Times New Roman" w:cs="Times New Roman" w:eastAsia="Times New Roman" w:hAnsi="Times New Roman"/>
          <w:i/>
          <w:iCs/>
          <w:sz w:val="24"/>
          <w:szCs w:val="24"/>
        </w:rPr>
        <w:t xml:space="preserve">Every hosting provider's free tier, side by side (checked September 2026)</w:t>
      </w:r>
      <w:r>
        <w:rPr>
          <w:rFonts w:ascii="Times New Roman" w:cs="Times New Roman" w:eastAsia="Times New Roman" w:hAnsi="Times New Roman"/>
          <w:sz w:val="24"/>
          <w:szCs w:val="24"/>
        </w:rPr>
        <w:t xml:space="preserve">. https://flaviocopes.com/hosting-free-tiers/</w:t>
      </w:r>
    </w:p>
    <w:p>
      <w:pPr>
        <w:spacing w:line="480"/>
        <w:ind w:left="720" w:hanging="720"/>
      </w:pPr>
      <w:r>
        <w:rPr>
          <w:rFonts w:ascii="Times New Roman" w:cs="Times New Roman" w:eastAsia="Times New Roman" w:hAnsi="Times New Roman"/>
          <w:sz w:val="24"/>
          <w:szCs w:val="24"/>
        </w:rPr>
        <w:t>ISO/IEC. (2011). ISO/IEC 25010:2011 Systems and software engineering — Systems and software Quality Requirements and Evaluation (SQuaRE) — System and software quality models.</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Render. (2025, 16 de septiembre). </w:t>
      </w:r>
      <w:r>
        <w:rPr>
          <w:rFonts w:ascii="Times New Roman" w:cs="Times New Roman" w:eastAsia="Times New Roman" w:hAnsi="Times New Roman"/>
          <w:i/>
          <w:iCs/>
          <w:sz w:val="24"/>
          <w:szCs w:val="24"/>
        </w:rPr>
        <w:t xml:space="preserve">Free web services will no longer allow outbound traffic to SMTP ports</w:t>
      </w:r>
      <w:r>
        <w:rPr>
          <w:rFonts w:ascii="Times New Roman" w:cs="Times New Roman" w:eastAsia="Times New Roman" w:hAnsi="Times New Roman"/>
          <w:sz w:val="24"/>
          <w:szCs w:val="24"/>
        </w:rPr>
        <w:t xml:space="preserve"> [Registro de cambios]. https://render.com/changelog/free-web-services-will-no-longer-allow-outbound-traffic-to-smtp-ports</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2026-10-27T14:36:55.504Z</dcterms:created>
  <dcterms:modified xsi:type="dcterms:W3CDTF">2026-10-27T14:36:55.504Z</dcterms:modified>
</cp:coreProperties>
</file>

<file path=docProps/custom.xml><?xml version="1.0" encoding="utf-8"?>
<Properties xmlns="http://schemas.openxmlformats.org/officeDocument/2006/custom-properties" xmlns:vt="http://schemas.openxmlformats.org/officeDocument/2006/docPropsVTypes"/>
</file>